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56" w:type="dxa"/>
        <w:tblInd w:w="-34" w:type="dxa"/>
        <w:tblLook w:val="01E0"/>
      </w:tblPr>
      <w:tblGrid>
        <w:gridCol w:w="1132"/>
        <w:gridCol w:w="720"/>
        <w:gridCol w:w="1125"/>
        <w:gridCol w:w="1560"/>
        <w:gridCol w:w="3260"/>
        <w:gridCol w:w="1559"/>
      </w:tblGrid>
      <w:tr w:rsidR="00D139DA" w:rsidRPr="00DF0430">
        <w:trPr>
          <w:trHeight w:val="570"/>
        </w:trPr>
        <w:tc>
          <w:tcPr>
            <w:tcW w:w="2977" w:type="dxa"/>
            <w:gridSpan w:val="3"/>
            <w:shd w:val="clear" w:color="auto" w:fill="auto"/>
          </w:tcPr>
          <w:p w:rsidR="00D139DA" w:rsidRPr="00DF0430" w:rsidRDefault="00682D0C">
            <w:pPr>
              <w:jc w:val="center"/>
              <w:rPr>
                <w:b/>
                <w:color w:val="0033CC"/>
                <w:sz w:val="26"/>
                <w:szCs w:val="26"/>
              </w:rPr>
            </w:pPr>
            <w:r w:rsidRPr="00DF0430">
              <w:rPr>
                <w:b/>
                <w:color w:val="0033CC"/>
                <w:sz w:val="26"/>
                <w:szCs w:val="26"/>
              </w:rPr>
              <w:t>ỦY BAN NHÂN DÂN</w:t>
            </w:r>
          </w:p>
          <w:p w:rsidR="00D139DA" w:rsidRPr="00DF0430" w:rsidRDefault="00682D0C">
            <w:pPr>
              <w:jc w:val="center"/>
              <w:rPr>
                <w:b/>
                <w:color w:val="0033CC"/>
                <w:sz w:val="26"/>
                <w:szCs w:val="26"/>
              </w:rPr>
            </w:pPr>
            <w:r w:rsidRPr="00DF0430">
              <w:rPr>
                <w:b/>
                <w:color w:val="0033CC"/>
                <w:sz w:val="26"/>
                <w:szCs w:val="26"/>
              </w:rPr>
              <w:t>TỈNH VĨNH LONG</w:t>
            </w:r>
          </w:p>
        </w:tc>
        <w:tc>
          <w:tcPr>
            <w:tcW w:w="6379" w:type="dxa"/>
            <w:gridSpan w:val="3"/>
            <w:shd w:val="clear" w:color="auto" w:fill="auto"/>
          </w:tcPr>
          <w:p w:rsidR="00D139DA" w:rsidRPr="00DF0430" w:rsidRDefault="00682D0C">
            <w:pPr>
              <w:jc w:val="center"/>
              <w:rPr>
                <w:b/>
                <w:color w:val="0033CC"/>
                <w:sz w:val="26"/>
                <w:szCs w:val="26"/>
              </w:rPr>
            </w:pPr>
            <w:r w:rsidRPr="00DF0430">
              <w:rPr>
                <w:b/>
                <w:color w:val="0033CC"/>
                <w:sz w:val="26"/>
                <w:szCs w:val="26"/>
              </w:rPr>
              <w:t>CỘNG HOÀ XÃ HỘI CHỦ NGHĨA VIỆT NAM</w:t>
            </w:r>
          </w:p>
          <w:p w:rsidR="00D139DA" w:rsidRPr="00DF0430" w:rsidRDefault="00682D0C">
            <w:pPr>
              <w:jc w:val="center"/>
              <w:rPr>
                <w:color w:val="0033CC"/>
                <w:sz w:val="26"/>
                <w:szCs w:val="26"/>
              </w:rPr>
            </w:pPr>
            <w:r w:rsidRPr="00DF0430">
              <w:rPr>
                <w:b/>
                <w:color w:val="0033CC"/>
                <w:sz w:val="26"/>
                <w:szCs w:val="26"/>
              </w:rPr>
              <w:t>Độc lập - Tự do - Hạnh phúc</w:t>
            </w:r>
          </w:p>
        </w:tc>
      </w:tr>
      <w:tr w:rsidR="00D139DA" w:rsidRPr="00DF0430">
        <w:trPr>
          <w:trHeight w:val="62"/>
        </w:trPr>
        <w:tc>
          <w:tcPr>
            <w:tcW w:w="1132" w:type="dxa"/>
            <w:shd w:val="clear" w:color="auto" w:fill="auto"/>
            <w:vAlign w:val="bottom"/>
          </w:tcPr>
          <w:p w:rsidR="00D139DA" w:rsidRPr="00DF0430" w:rsidRDefault="00D139DA">
            <w:pPr>
              <w:jc w:val="center"/>
              <w:rPr>
                <w:color w:val="0033CC"/>
                <w:sz w:val="10"/>
                <w:szCs w:val="10"/>
              </w:rPr>
            </w:pPr>
          </w:p>
        </w:tc>
        <w:tc>
          <w:tcPr>
            <w:tcW w:w="720" w:type="dxa"/>
            <w:tcBorders>
              <w:top w:val="single" w:sz="4" w:space="0" w:color="auto"/>
            </w:tcBorders>
            <w:shd w:val="clear" w:color="auto" w:fill="auto"/>
            <w:vAlign w:val="bottom"/>
          </w:tcPr>
          <w:p w:rsidR="00D139DA" w:rsidRPr="00DF0430" w:rsidRDefault="00D139DA">
            <w:pPr>
              <w:jc w:val="center"/>
              <w:rPr>
                <w:color w:val="0033CC"/>
                <w:sz w:val="10"/>
                <w:szCs w:val="10"/>
              </w:rPr>
            </w:pPr>
          </w:p>
        </w:tc>
        <w:tc>
          <w:tcPr>
            <w:tcW w:w="1125" w:type="dxa"/>
            <w:shd w:val="clear" w:color="auto" w:fill="auto"/>
            <w:vAlign w:val="bottom"/>
          </w:tcPr>
          <w:p w:rsidR="00D139DA" w:rsidRPr="00DF0430" w:rsidRDefault="00D139DA">
            <w:pPr>
              <w:jc w:val="center"/>
              <w:rPr>
                <w:color w:val="0033CC"/>
                <w:sz w:val="10"/>
                <w:szCs w:val="10"/>
              </w:rPr>
            </w:pPr>
          </w:p>
        </w:tc>
        <w:tc>
          <w:tcPr>
            <w:tcW w:w="1560" w:type="dxa"/>
            <w:shd w:val="clear" w:color="auto" w:fill="auto"/>
            <w:vAlign w:val="bottom"/>
          </w:tcPr>
          <w:p w:rsidR="00D139DA" w:rsidRPr="00DF0430" w:rsidRDefault="00D139DA">
            <w:pPr>
              <w:jc w:val="center"/>
              <w:rPr>
                <w:i/>
                <w:color w:val="0033CC"/>
                <w:sz w:val="10"/>
                <w:szCs w:val="10"/>
              </w:rPr>
            </w:pPr>
          </w:p>
        </w:tc>
        <w:tc>
          <w:tcPr>
            <w:tcW w:w="3260" w:type="dxa"/>
            <w:tcBorders>
              <w:top w:val="single" w:sz="4" w:space="0" w:color="auto"/>
            </w:tcBorders>
            <w:shd w:val="clear" w:color="auto" w:fill="auto"/>
            <w:vAlign w:val="bottom"/>
          </w:tcPr>
          <w:p w:rsidR="00D139DA" w:rsidRPr="00DF0430" w:rsidRDefault="00D139DA">
            <w:pPr>
              <w:jc w:val="center"/>
              <w:rPr>
                <w:i/>
                <w:color w:val="0033CC"/>
                <w:sz w:val="10"/>
                <w:szCs w:val="10"/>
              </w:rPr>
            </w:pPr>
          </w:p>
        </w:tc>
        <w:tc>
          <w:tcPr>
            <w:tcW w:w="1559" w:type="dxa"/>
            <w:shd w:val="clear" w:color="auto" w:fill="auto"/>
            <w:vAlign w:val="bottom"/>
          </w:tcPr>
          <w:p w:rsidR="00D139DA" w:rsidRPr="00DF0430" w:rsidRDefault="00D139DA">
            <w:pPr>
              <w:jc w:val="center"/>
              <w:rPr>
                <w:i/>
                <w:color w:val="0033CC"/>
                <w:sz w:val="10"/>
                <w:szCs w:val="10"/>
              </w:rPr>
            </w:pPr>
          </w:p>
        </w:tc>
      </w:tr>
      <w:tr w:rsidR="00D139DA" w:rsidRPr="00DF0430">
        <w:trPr>
          <w:trHeight w:val="112"/>
        </w:trPr>
        <w:tc>
          <w:tcPr>
            <w:tcW w:w="2977" w:type="dxa"/>
            <w:gridSpan w:val="3"/>
            <w:shd w:val="clear" w:color="auto" w:fill="auto"/>
            <w:vAlign w:val="bottom"/>
          </w:tcPr>
          <w:p w:rsidR="00D139DA" w:rsidRPr="00DF0430" w:rsidRDefault="00682D0C" w:rsidP="00C338EA">
            <w:pPr>
              <w:jc w:val="center"/>
              <w:rPr>
                <w:color w:val="0033CC"/>
                <w:sz w:val="26"/>
                <w:szCs w:val="26"/>
              </w:rPr>
            </w:pPr>
            <w:r w:rsidRPr="00DF0430">
              <w:rPr>
                <w:color w:val="0033CC"/>
                <w:sz w:val="26"/>
                <w:szCs w:val="26"/>
              </w:rPr>
              <w:t xml:space="preserve">Số: </w:t>
            </w:r>
            <w:r w:rsidR="00C338EA">
              <w:rPr>
                <w:color w:val="0033CC"/>
                <w:sz w:val="26"/>
                <w:szCs w:val="26"/>
              </w:rPr>
              <w:t>333</w:t>
            </w:r>
            <w:r w:rsidRPr="00DF0430">
              <w:rPr>
                <w:color w:val="0033CC"/>
                <w:sz w:val="26"/>
                <w:szCs w:val="26"/>
              </w:rPr>
              <w:t xml:space="preserve"> /BC-UBND</w:t>
            </w:r>
          </w:p>
        </w:tc>
        <w:tc>
          <w:tcPr>
            <w:tcW w:w="6379" w:type="dxa"/>
            <w:gridSpan w:val="3"/>
            <w:shd w:val="clear" w:color="auto" w:fill="auto"/>
            <w:vAlign w:val="bottom"/>
          </w:tcPr>
          <w:p w:rsidR="00D139DA" w:rsidRPr="00DF0430" w:rsidRDefault="00682D0C" w:rsidP="00C338EA">
            <w:pPr>
              <w:jc w:val="center"/>
              <w:rPr>
                <w:color w:val="0033CC"/>
                <w:sz w:val="26"/>
                <w:szCs w:val="26"/>
              </w:rPr>
            </w:pPr>
            <w:r w:rsidRPr="00DF0430">
              <w:rPr>
                <w:i/>
                <w:color w:val="0033CC"/>
                <w:sz w:val="26"/>
                <w:szCs w:val="26"/>
              </w:rPr>
              <w:t xml:space="preserve">Vĩnh Long, ngày  </w:t>
            </w:r>
            <w:r w:rsidR="00C338EA">
              <w:rPr>
                <w:i/>
                <w:color w:val="0033CC"/>
                <w:sz w:val="26"/>
                <w:szCs w:val="26"/>
              </w:rPr>
              <w:t>11</w:t>
            </w:r>
            <w:r w:rsidRPr="00DF0430">
              <w:rPr>
                <w:i/>
                <w:color w:val="0033CC"/>
                <w:sz w:val="26"/>
                <w:szCs w:val="26"/>
              </w:rPr>
              <w:t xml:space="preserve">  tháng  </w:t>
            </w:r>
            <w:r w:rsidR="00C338EA">
              <w:rPr>
                <w:i/>
                <w:color w:val="0033CC"/>
                <w:sz w:val="26"/>
                <w:szCs w:val="26"/>
              </w:rPr>
              <w:t>12</w:t>
            </w:r>
            <w:r w:rsidRPr="00DF0430">
              <w:rPr>
                <w:i/>
                <w:color w:val="0033CC"/>
                <w:sz w:val="26"/>
                <w:szCs w:val="26"/>
              </w:rPr>
              <w:t xml:space="preserve">   năm 2017</w:t>
            </w:r>
          </w:p>
        </w:tc>
      </w:tr>
    </w:tbl>
    <w:p w:rsidR="00D139DA" w:rsidRPr="00EE3940" w:rsidRDefault="00D139DA">
      <w:pPr>
        <w:rPr>
          <w:b/>
          <w:color w:val="0033CC"/>
          <w:sz w:val="32"/>
          <w:szCs w:val="32"/>
          <w:lang w:val="sv-SE"/>
        </w:rPr>
      </w:pPr>
    </w:p>
    <w:tbl>
      <w:tblPr>
        <w:tblW w:w="0" w:type="auto"/>
        <w:tblInd w:w="108" w:type="dxa"/>
        <w:tblLook w:val="04A0"/>
      </w:tblPr>
      <w:tblGrid>
        <w:gridCol w:w="3420"/>
        <w:gridCol w:w="2250"/>
        <w:gridCol w:w="3402"/>
      </w:tblGrid>
      <w:tr w:rsidR="00D139DA" w:rsidRPr="00DA39CF">
        <w:trPr>
          <w:trHeight w:val="902"/>
        </w:trPr>
        <w:tc>
          <w:tcPr>
            <w:tcW w:w="9072" w:type="dxa"/>
            <w:gridSpan w:val="3"/>
          </w:tcPr>
          <w:p w:rsidR="00D139DA" w:rsidRPr="00DA39CF" w:rsidRDefault="00682D0C">
            <w:pPr>
              <w:autoSpaceDE w:val="0"/>
              <w:autoSpaceDN w:val="0"/>
              <w:jc w:val="center"/>
              <w:rPr>
                <w:rFonts w:eastAsia="Times New Roman,Bold"/>
                <w:b/>
                <w:bCs/>
                <w:color w:val="0033CC"/>
                <w:sz w:val="26"/>
                <w:szCs w:val="26"/>
                <w:lang w:val="sv-SE"/>
              </w:rPr>
            </w:pPr>
            <w:r w:rsidRPr="00DA39CF">
              <w:rPr>
                <w:b/>
                <w:color w:val="0033CC"/>
                <w:sz w:val="26"/>
                <w:szCs w:val="26"/>
                <w:lang w:val="sv-SE"/>
              </w:rPr>
              <w:t>BÁO CÁO</w:t>
            </w:r>
          </w:p>
          <w:p w:rsidR="00D139DA" w:rsidRPr="00DA39CF" w:rsidRDefault="00682D0C">
            <w:pPr>
              <w:autoSpaceDE w:val="0"/>
              <w:autoSpaceDN w:val="0"/>
              <w:jc w:val="center"/>
              <w:rPr>
                <w:rFonts w:eastAsia="Times New Roman,Bold"/>
                <w:b/>
                <w:bCs/>
                <w:color w:val="0033CC"/>
                <w:sz w:val="26"/>
                <w:szCs w:val="26"/>
                <w:lang w:val="sv-SE"/>
              </w:rPr>
            </w:pPr>
            <w:r w:rsidRPr="00DA39CF">
              <w:rPr>
                <w:rFonts w:eastAsia="Times New Roman,Bold"/>
                <w:b/>
                <w:bCs/>
                <w:color w:val="0033CC"/>
                <w:sz w:val="26"/>
                <w:szCs w:val="26"/>
                <w:lang w:val="sv-SE"/>
              </w:rPr>
              <w:t>Chỉ đạo, điều hành của Ủy ban nhân dân tỉnh</w:t>
            </w:r>
          </w:p>
          <w:p w:rsidR="00D139DA" w:rsidRPr="00DA39CF" w:rsidRDefault="00682D0C">
            <w:pPr>
              <w:autoSpaceDE w:val="0"/>
              <w:autoSpaceDN w:val="0"/>
              <w:jc w:val="center"/>
              <w:rPr>
                <w:rFonts w:eastAsia="Times New Roman,Bold"/>
                <w:b/>
                <w:bCs/>
                <w:color w:val="0033CC"/>
                <w:sz w:val="26"/>
                <w:szCs w:val="26"/>
                <w:lang w:val="sv-SE"/>
              </w:rPr>
            </w:pPr>
            <w:r w:rsidRPr="00DA39CF">
              <w:rPr>
                <w:rFonts w:eastAsia="Times New Roman,Bold"/>
                <w:b/>
                <w:bCs/>
                <w:color w:val="0033CC"/>
                <w:sz w:val="26"/>
                <w:szCs w:val="26"/>
                <w:lang w:val="sv-SE"/>
              </w:rPr>
              <w:t xml:space="preserve"> và tình hình kinh tế - xã hội tháng 11/2017</w:t>
            </w:r>
          </w:p>
        </w:tc>
      </w:tr>
      <w:tr w:rsidR="00D139DA">
        <w:trPr>
          <w:trHeight w:val="62"/>
        </w:trPr>
        <w:tc>
          <w:tcPr>
            <w:tcW w:w="3420" w:type="dxa"/>
          </w:tcPr>
          <w:p w:rsidR="00D139DA" w:rsidRDefault="00D139DA">
            <w:pPr>
              <w:autoSpaceDE w:val="0"/>
              <w:autoSpaceDN w:val="0"/>
              <w:jc w:val="center"/>
              <w:rPr>
                <w:b/>
                <w:sz w:val="4"/>
                <w:szCs w:val="4"/>
                <w:lang w:val="sv-SE"/>
              </w:rPr>
            </w:pPr>
          </w:p>
        </w:tc>
        <w:tc>
          <w:tcPr>
            <w:tcW w:w="2250" w:type="dxa"/>
            <w:tcBorders>
              <w:top w:val="single" w:sz="4" w:space="0" w:color="auto"/>
            </w:tcBorders>
          </w:tcPr>
          <w:p w:rsidR="00D139DA" w:rsidRDefault="00D139DA">
            <w:pPr>
              <w:autoSpaceDE w:val="0"/>
              <w:autoSpaceDN w:val="0"/>
              <w:jc w:val="center"/>
              <w:rPr>
                <w:b/>
                <w:sz w:val="4"/>
                <w:szCs w:val="4"/>
                <w:lang w:val="sv-SE"/>
              </w:rPr>
            </w:pPr>
          </w:p>
        </w:tc>
        <w:tc>
          <w:tcPr>
            <w:tcW w:w="3402" w:type="dxa"/>
          </w:tcPr>
          <w:p w:rsidR="00D139DA" w:rsidRDefault="00D139DA">
            <w:pPr>
              <w:autoSpaceDE w:val="0"/>
              <w:autoSpaceDN w:val="0"/>
              <w:jc w:val="center"/>
              <w:rPr>
                <w:b/>
                <w:sz w:val="4"/>
                <w:szCs w:val="4"/>
                <w:lang w:val="sv-SE"/>
              </w:rPr>
            </w:pPr>
          </w:p>
        </w:tc>
      </w:tr>
    </w:tbl>
    <w:p w:rsidR="00D139DA" w:rsidRPr="00EE3940" w:rsidRDefault="00D139DA">
      <w:pPr>
        <w:autoSpaceDE w:val="0"/>
        <w:autoSpaceDN w:val="0"/>
        <w:jc w:val="center"/>
        <w:rPr>
          <w:b/>
          <w:sz w:val="32"/>
          <w:szCs w:val="32"/>
          <w:lang w:val="sv-SE"/>
        </w:rPr>
      </w:pPr>
    </w:p>
    <w:p w:rsidR="00D139DA" w:rsidRDefault="00682D0C" w:rsidP="00F931B1">
      <w:pPr>
        <w:spacing w:after="120" w:line="252" w:lineRule="auto"/>
        <w:ind w:firstLine="720"/>
        <w:jc w:val="both"/>
        <w:outlineLvl w:val="0"/>
        <w:rPr>
          <w:b/>
          <w:color w:val="0033CC"/>
          <w:sz w:val="26"/>
          <w:szCs w:val="26"/>
          <w:lang w:val="sv-SE"/>
        </w:rPr>
      </w:pPr>
      <w:r>
        <w:rPr>
          <w:b/>
          <w:color w:val="0033CC"/>
          <w:sz w:val="26"/>
          <w:szCs w:val="26"/>
          <w:lang w:val="sv-SE"/>
        </w:rPr>
        <w:t>I. HOẠT ĐỘNG CHỈ ĐẠO, ĐIỀU HÀNH CỦA UBND TỈNH</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Trong tháng 11/2017, Ủy ban nhân dân tỉnh, Chủ tịch, các Phó Chủ tịch UBND tỉnh tập trung chỉ đạo điều hành một số công việc trọng tâm như:</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Dự: Diễn tập khu vực phòng thủ quân sự tại huyện Tam Bình; Lễ kỷ niệm Ngày Nhà giáo Việt Nam tại Sở Giáo dục và Đào tạo; Hội thảo tại Ban Tuyên giáo Tỉnh ủy; Đại hội Hội Châm cứu tỉnh; Lễ Khai mạc Hội thi Ảnh nghệ thuật đồng bằng sông Cửu Long; Hội nghị Sơ kết 5 năm thực hiện Thông tư 23/2012/TT-BCA tại Công an tỉnh; Diễn tập Khu vực phòng thủ quân sự tại tỉnh Kiên Giang.</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Dự Lễ kỷ niệm: 95 năm ngày sinh Cố Thủ tướng Võ Văn Kiệt; Ngày Nhà giáo Việt Nam 20/11 tại Trường Cao đẳng Cộng đồng. </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Trong tháng, UBND tỉnh, Chủ tịch UBND tỉnh ban hành 8</w:t>
      </w:r>
      <w:r w:rsidR="00C12988">
        <w:rPr>
          <w:color w:val="0033CC"/>
          <w:sz w:val="26"/>
          <w:szCs w:val="26"/>
          <w:lang w:val="sv-SE"/>
        </w:rPr>
        <w:t>47</w:t>
      </w:r>
      <w:r>
        <w:rPr>
          <w:color w:val="0033CC"/>
          <w:sz w:val="26"/>
          <w:szCs w:val="26"/>
          <w:lang w:val="sv-SE"/>
        </w:rPr>
        <w:t xml:space="preserve"> văn bản</w:t>
      </w:r>
      <w:r>
        <w:rPr>
          <w:color w:val="0033CC"/>
          <w:sz w:val="26"/>
          <w:szCs w:val="26"/>
          <w:vertAlign w:val="superscript"/>
          <w:lang w:val="sv-SE"/>
        </w:rPr>
        <w:footnoteReference w:id="2"/>
      </w:r>
      <w:r>
        <w:rPr>
          <w:sz w:val="26"/>
          <w:szCs w:val="26"/>
          <w:lang w:val="sv-SE"/>
        </w:rPr>
        <w:t xml:space="preserve">. </w:t>
      </w:r>
      <w:r>
        <w:rPr>
          <w:color w:val="0033CC"/>
          <w:sz w:val="26"/>
          <w:szCs w:val="26"/>
          <w:lang w:val="sv-SE"/>
        </w:rPr>
        <w:t>Trong đó, có một số văn bản quan trọng như: Thành lập Hội đồng thẩm định dự án Điều chỉnh quy hoạch cấp nước sạch nông thôn tỉnh đến năm 2020 và định hướng đến năm 2030; Kế hoạch triển khai thi hành Bộ luật Hình sự trên địa bàn tỉnh; Kiện toàn Ban Chỉ đạo phòng, chống tội phạm, tệ nạn xã hội và xây dựng phong trào toàn dân bảo vệ an ninh Tổ quốc tỉnh; Thành lập Quỹ Hỗ trợ phát triển hợp tác xã tỉnh Vĩnh Long; Phê duyệt dự án đầu tư xây dựng công trình Nhà bia kỷ niệm thành lập Chi bộ Đảng đầu tiên tỉnh Vĩnh Long; Đề án phát triển giáo dục mầm non 2018 - 2025.</w:t>
      </w:r>
    </w:p>
    <w:p w:rsidR="00D139DA" w:rsidRDefault="00682D0C" w:rsidP="00F931B1">
      <w:pPr>
        <w:spacing w:after="120" w:line="252" w:lineRule="auto"/>
        <w:ind w:firstLine="720"/>
        <w:jc w:val="both"/>
        <w:outlineLvl w:val="0"/>
        <w:rPr>
          <w:b/>
          <w:color w:val="0033CC"/>
          <w:sz w:val="26"/>
          <w:szCs w:val="26"/>
          <w:lang w:val="de-DE"/>
        </w:rPr>
      </w:pPr>
      <w:r>
        <w:rPr>
          <w:b/>
          <w:color w:val="0033CC"/>
          <w:sz w:val="26"/>
          <w:szCs w:val="26"/>
          <w:lang w:val="de-DE"/>
        </w:rPr>
        <w:t>II. TÌNH HÌNH KINH TẾ - XÃ HỘI THÁNG 11/2017</w:t>
      </w:r>
    </w:p>
    <w:p w:rsidR="00D139DA" w:rsidRDefault="00682D0C" w:rsidP="00F931B1">
      <w:pPr>
        <w:spacing w:after="120" w:line="252" w:lineRule="auto"/>
        <w:ind w:firstLine="720"/>
        <w:jc w:val="both"/>
        <w:outlineLvl w:val="0"/>
        <w:rPr>
          <w:b/>
          <w:color w:val="0033CC"/>
          <w:sz w:val="26"/>
          <w:szCs w:val="26"/>
          <w:lang w:val="nl-NL"/>
        </w:rPr>
      </w:pPr>
      <w:r>
        <w:rPr>
          <w:b/>
          <w:color w:val="0033CC"/>
          <w:sz w:val="26"/>
          <w:szCs w:val="26"/>
          <w:lang w:val="nl-NL"/>
        </w:rPr>
        <w:t>1. Tình hình kinh tế</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Lúa Thu - Đông 2017: </w:t>
      </w:r>
      <w:r>
        <w:rPr>
          <w:rFonts w:eastAsia="MS Mincho"/>
          <w:color w:val="0033CC"/>
          <w:spacing w:val="-4"/>
          <w:sz w:val="26"/>
          <w:szCs w:val="26"/>
        </w:rPr>
        <w:t xml:space="preserve">Diện tích gieo trồng 54.570 ha, đạt 107% kế hoạch và </w:t>
      </w:r>
      <w:r>
        <w:rPr>
          <w:color w:val="0033CC"/>
          <w:sz w:val="26"/>
          <w:szCs w:val="26"/>
          <w:lang w:val="sv-SE"/>
        </w:rPr>
        <w:t>giảm 2,45% hay giảm 1.370 ha so với cùng vụ năm 2016. Năng suất toàn vụ ước đạt 5,14 tấn/ha, tăng 1,32% hay tăng 0,067 tấn/ha; sản lượng thu hoạch đạt 280,4 nghìn tấn, giảm 1,15% hay giảm 3,26 nghìn tấn so với cùng vụ năm trước.</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Lúa Đông - Xuân 2017 - 2018: đã xuống giống được 12.617 ha, đạt 21,4% kế hoạch và chỉ bằng 39,41% diện tích xuống giống cùng kỳ năm trước. Hiện lúa đang ở giai đoạn mạ 1.309 ha, đẻ nhánh 6.472 ha và đòng trổ 4.836 ha.</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Màu vụ Đông Xuân 2017-2018: Đã gieo trồng 5.681 ha, giảm 27% hay giảm 2.105 ha so với cùng kỳ năm trước; trong đó, diện tích màu xuống ruộng là 2.538 ha, chiếm 44,7% diện tích xuống giống. Riêng khoai lang chỉ xuống giống được 676 ha, giảm 56,4% so với cùng kỳ.</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Cây lâu năm: Ước sản lượng thu hoạch trong tháng 18.710 tấn, lũy kế sản lượng 528.416 tấn, đạt 98,7% kế hoạch, tăng 3,3% (17.118 tấn) so với cùng kỳ năm trước.</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lastRenderedPageBreak/>
        <w:t>- Thủy sản: Ước sản lượng thủy sản trong tháng đạt 7.654 tấn, lũy kế sản lượng 109.300 tấn, đạt 92,2% kế hoạch, tăng 3,2% (3.376 tấn) so với cùng kỳ; trong đó: Sản lượng nuôi trồng: 103.208 tấn, tăng 3,3% (3.342 tấn) so với cùng kỳ. Riêng sản lượng cá tra thâm canh đạt 73.358 tấn, tăng 4,4% (3.125 tấn) so với cùng kỳ.</w:t>
      </w:r>
    </w:p>
    <w:p w:rsidR="00D139DA" w:rsidRDefault="00682D0C" w:rsidP="00F931B1">
      <w:pPr>
        <w:pStyle w:val="BodyTextIndent2"/>
        <w:spacing w:after="120" w:line="252" w:lineRule="auto"/>
        <w:ind w:firstLine="720"/>
        <w:rPr>
          <w:rFonts w:ascii="Times New Roman" w:hAnsi="Times New Roman"/>
          <w:color w:val="0033CC"/>
          <w:sz w:val="26"/>
          <w:szCs w:val="26"/>
          <w:lang w:val="sv-SE"/>
        </w:rPr>
      </w:pPr>
      <w:r>
        <w:rPr>
          <w:rFonts w:ascii="Times New Roman" w:hAnsi="Times New Roman"/>
          <w:color w:val="0033CC"/>
          <w:sz w:val="26"/>
          <w:szCs w:val="26"/>
          <w:lang w:val="sv-SE"/>
        </w:rPr>
        <w:t>- Tình hình giá cả thị trường trong tháng: Giá lúa thu đông trong tháng ổn định so với tháng trước và tăng 300 đồng/kg so với cùng kỳ năm 2016; hiện giá lúa khô ở mức 5.100 - 5.300 đồng/kg; giá khoai lang Tím Nhật đang ở mức 800.000 đồng/tạ 60 kg (giá cao nhất trong tháng) tăng 220.000 đồng so với tháng trước và tăng 50.000 đồng so với cùng kỳ năm trước; giá cá tra nguyên liệu trong tháng tăng 500 đồng/kg so với tháng trước và tăng 5.500 đồng/kg so với cùng kỳ năm trước; giá bán hiện nay đang ở mức 28.000 - 28.500 đồng/kg; giá heo hơi trong tháng tiếp tục giảm, giá các loại sản phẩm chăn nuôi khác đều ổn định, riêng giá gà công nghiệp tăng khá so với tháng trước (tăng 16%); so với cùng kỳ năm trước giá heo hơi giảm mạnh đến 23,8%, giá vịt giảm 2,6%, giá bò hơi giảm 4%, giá gà công nghiệp tăng 31,8%, giá trứng vịt tăng 15%,... Giá các sản phẩm chăn nuôi khác trong tháng tương đối ổn định so với tháng trước.</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Chỉ số sản xuất toàn ngành công nghiệp (IIP) tháng 11/2017: ước tăng </w:t>
      </w:r>
      <w:r>
        <w:rPr>
          <w:rFonts w:eastAsia="MS Mincho"/>
          <w:color w:val="0033CC"/>
          <w:spacing w:val="-6"/>
          <w:sz w:val="28"/>
          <w:szCs w:val="28"/>
        </w:rPr>
        <w:t>0,77%</w:t>
      </w:r>
      <w:r>
        <w:rPr>
          <w:rFonts w:eastAsia="MS Mincho"/>
          <w:color w:val="0033CC"/>
          <w:spacing w:val="-6"/>
          <w:sz w:val="26"/>
          <w:szCs w:val="26"/>
        </w:rPr>
        <w:t xml:space="preserve"> </w:t>
      </w:r>
      <w:r>
        <w:rPr>
          <w:color w:val="0033CC"/>
          <w:sz w:val="26"/>
          <w:szCs w:val="26"/>
          <w:lang w:val="sv-SE"/>
        </w:rPr>
        <w:t xml:space="preserve">so với tháng trước và tăng </w:t>
      </w:r>
      <w:r>
        <w:rPr>
          <w:rFonts w:eastAsia="MS Mincho"/>
          <w:color w:val="0033CC"/>
          <w:spacing w:val="-6"/>
          <w:sz w:val="28"/>
          <w:szCs w:val="28"/>
        </w:rPr>
        <w:t>7,6%</w:t>
      </w:r>
      <w:r>
        <w:rPr>
          <w:color w:val="0033CC"/>
          <w:sz w:val="26"/>
          <w:szCs w:val="26"/>
          <w:lang w:val="sv-SE"/>
        </w:rPr>
        <w:t xml:space="preserve"> so với cùng kỳ năm trước. Tính chung trong 11 tháng năm 2017, IIP tăng </w:t>
      </w:r>
      <w:r>
        <w:rPr>
          <w:rFonts w:eastAsia="MS Mincho"/>
          <w:color w:val="0033CC"/>
          <w:spacing w:val="-6"/>
          <w:sz w:val="28"/>
          <w:szCs w:val="28"/>
        </w:rPr>
        <w:t>9,12%</w:t>
      </w:r>
      <w:r>
        <w:rPr>
          <w:color w:val="0033CC"/>
          <w:sz w:val="26"/>
          <w:szCs w:val="26"/>
          <w:lang w:val="sv-SE"/>
        </w:rPr>
        <w:t xml:space="preserve"> so với cùng kỳ năm trước</w:t>
      </w:r>
      <w:r>
        <w:rPr>
          <w:color w:val="0033CC"/>
          <w:sz w:val="26"/>
          <w:szCs w:val="26"/>
          <w:vertAlign w:val="superscript"/>
          <w:lang w:val="sv-SE"/>
        </w:rPr>
        <w:footnoteReference w:id="3"/>
      </w:r>
      <w:r>
        <w:rPr>
          <w:color w:val="0033CC"/>
          <w:sz w:val="26"/>
          <w:szCs w:val="26"/>
          <w:lang w:val="sv-SE"/>
        </w:rPr>
        <w:t>.</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Tổng mức bán lẻ hàng hóa và doanh thu dịch vụ tiêu dùng tháng 11/2017: ước đạt 3.499 tỷ đồng, tăng 1,36% so với tháng trước. Tính chung trong 11 tháng năm 2017, đạt 37.358 tỷ đồng, tăng 9,91%  so với cùng kỳ năm trước.</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Tổng lượng khách lưu trú tháng 11/2017 ước đạt 92,43 nghìn lượt, tăng 3,49% so với tháng trước và tăng 14,96% so với cùng kỳ năm trước. Lũy kế 11 tháng năm 2017, tổng lượng khách lưu trú ước đạt 1.024 nghìn lượt, tăng 9,44% so với cùng kỳ năm trước. Tổng lượng khách du lịch theo tour trong tháng ước đạt 10,85 nghìn lượt, tăng 2,46% so với tháng trước và tăng 41,83% so với cùng kỳ năm trước. Lũy kế 11 tháng năm 2017, tổng lượng khách du lịch theo tour đạt 102,63 nghìn lượt, tăng 11,56% so với cùng kỳ năm trước; trong đó khách quốc tế đạt 53,5 nghìn lượt, chiếm 52% tổng lượng khách du lịch.</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Tổng kim ngạch xuất khẩu trong tháng ước đạt 37,2 triệu USD, tăng 10,07% so với tháng trước và tăng 12,14% so với cùng kỳ năm trước; lũy kế 11 tháng năm 2017, tổng kim ngạch xuất khẩu đạt 380,8 triệu USD, tăng 12,06% so với cùng kỳ năm trước. Tổng trị giá nhập khẩu trong tháng ước đạt 13,57 triệu USD, tăng 4,36% so với tháng trước nhưng giảm 11,61% so với cùng tháng năm trước; lũy kế trong 11 tháng năm 2017, tổng giá trị nhập khẩu đạt 178,4 triệu USD, giảm 1,24% so với cùng kỳ năm trước.</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Chỉ số giá tiêu dùng (CPI) tháng 11/2017 tăng 0,27% so với tháng trước. Tính từ đầu năm đến nay (sau 11 tháng) CPI tăng 3,13%, thấp hơn mức lạm phát của cùng kỳ 0,56 điểm phần trăm.</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Tổng số vốn đầu tư xây dựng cơ bản thuộc kế hoạch vốn ngân sách nhà nước do địa phương quản lý ước thực hiện trong tháng là 231,14 tỷ đồng, giải ngân 227,71 </w:t>
      </w:r>
      <w:r>
        <w:rPr>
          <w:color w:val="0033CC"/>
          <w:sz w:val="26"/>
          <w:szCs w:val="26"/>
          <w:lang w:val="sv-SE"/>
        </w:rPr>
        <w:lastRenderedPageBreak/>
        <w:t>tỷ đồng. Lũy kế 11 tháng năm 2017, thực hiện: 1.900,76 tỷ đồng, đạt 64,55%; giải ngân: 1.845,17 tỷ đồng, đạt 62,66% kế hoạch (nếu không bao gồm dự phòng cân đối ngân sách và xổ số kiến thiết là 135,80 tỷ đồng và điều chỉnh giảm vốn Đài phát thanh và Truyền hình Vĩnh Long là 168 tỷ đồng: thực hiện đạt 72,57%, giải ngân đạt 70,45% kế hoạch).</w:t>
      </w:r>
    </w:p>
    <w:p w:rsidR="00D139DA" w:rsidRDefault="00682D0C" w:rsidP="00F931B1">
      <w:pPr>
        <w:pStyle w:val="BodyTextIndent3"/>
        <w:spacing w:after="120" w:line="252" w:lineRule="auto"/>
        <w:ind w:firstLine="720"/>
        <w:rPr>
          <w:rFonts w:ascii="Times New Roman" w:hAnsi="Times New Roman"/>
          <w:color w:val="0033CC"/>
          <w:sz w:val="26"/>
          <w:szCs w:val="26"/>
          <w:lang w:val="sv-SE"/>
        </w:rPr>
      </w:pPr>
      <w:r>
        <w:rPr>
          <w:rFonts w:ascii="Times New Roman" w:eastAsia="MS Mincho" w:hAnsi="Times New Roman"/>
          <w:color w:val="0033CC"/>
          <w:spacing w:val="-6"/>
          <w:sz w:val="26"/>
          <w:szCs w:val="26"/>
        </w:rPr>
        <w:t>- Tổng thu ngân sách nhà nước trong 11 tháng năm 2017 ước thực hiện 5.846 tỷ đồng, đạt 95,26% dự toán năm và tăng 22,62% so với cùng kỳ năm trước</w:t>
      </w:r>
      <w:r>
        <w:rPr>
          <w:rStyle w:val="FootnoteReference"/>
          <w:rFonts w:ascii="Times New Roman" w:eastAsia="MS Mincho" w:hAnsi="Times New Roman"/>
          <w:color w:val="0033CC"/>
          <w:spacing w:val="-6"/>
          <w:sz w:val="26"/>
          <w:szCs w:val="26"/>
        </w:rPr>
        <w:footnoteReference w:id="4"/>
      </w:r>
      <w:r>
        <w:rPr>
          <w:rFonts w:ascii="Times New Roman" w:eastAsia="MS Mincho" w:hAnsi="Times New Roman"/>
          <w:color w:val="0033CC"/>
          <w:spacing w:val="-6"/>
          <w:sz w:val="26"/>
          <w:szCs w:val="26"/>
        </w:rPr>
        <w:t xml:space="preserve">; Tổng chi ngân sách trong 11 tháng năm 2017 ước thực hiện 6.320 tỷ đồng, đạt 84,41% dự toán năm và tăng 12,22% so với cùng kỳ năm trước; trong đó chi cho đầu tư phát triển 2.550 tỷ đồng, đạt 84,3% dự toán năm và tăng 31,12% so với cùng kỳ. </w:t>
      </w:r>
    </w:p>
    <w:p w:rsidR="00D139DA" w:rsidRDefault="00682D0C" w:rsidP="00F931B1">
      <w:pPr>
        <w:spacing w:after="120" w:line="252" w:lineRule="auto"/>
        <w:ind w:firstLine="720"/>
        <w:jc w:val="both"/>
        <w:rPr>
          <w:rFonts w:eastAsia="MS Mincho"/>
          <w:color w:val="0033CC"/>
          <w:spacing w:val="-6"/>
          <w:sz w:val="26"/>
          <w:szCs w:val="26"/>
        </w:rPr>
      </w:pPr>
      <w:r>
        <w:rPr>
          <w:color w:val="0033CC"/>
          <w:sz w:val="26"/>
          <w:szCs w:val="26"/>
          <w:lang w:val="sv-SE"/>
        </w:rPr>
        <w:t xml:space="preserve">- Về tín dụng: Ước tính đến cuối tháng 11/2017, số dư nguồn vốn huy động đạt </w:t>
      </w:r>
      <w:r>
        <w:rPr>
          <w:rFonts w:eastAsia="MS Mincho"/>
          <w:color w:val="0033CC"/>
          <w:spacing w:val="-6"/>
          <w:sz w:val="26"/>
          <w:szCs w:val="26"/>
        </w:rPr>
        <w:t xml:space="preserve">29.622 </w:t>
      </w:r>
      <w:r>
        <w:rPr>
          <w:color w:val="0033CC"/>
          <w:sz w:val="26"/>
          <w:szCs w:val="26"/>
          <w:lang w:val="sv-SE"/>
        </w:rPr>
        <w:t xml:space="preserve">tỷ đồng, tăng </w:t>
      </w:r>
      <w:r>
        <w:rPr>
          <w:rFonts w:eastAsia="MS Mincho"/>
          <w:color w:val="0033CC"/>
          <w:spacing w:val="-6"/>
          <w:sz w:val="26"/>
          <w:szCs w:val="26"/>
        </w:rPr>
        <w:t xml:space="preserve">1,29% </w:t>
      </w:r>
      <w:r>
        <w:rPr>
          <w:color w:val="0033CC"/>
          <w:sz w:val="26"/>
          <w:szCs w:val="26"/>
          <w:lang w:val="sv-SE"/>
        </w:rPr>
        <w:t xml:space="preserve">so với tháng trước và tăng </w:t>
      </w:r>
      <w:r>
        <w:rPr>
          <w:rFonts w:eastAsia="MS Mincho"/>
          <w:color w:val="0033CC"/>
          <w:spacing w:val="-6"/>
          <w:sz w:val="26"/>
          <w:szCs w:val="26"/>
        </w:rPr>
        <w:t>13,91%</w:t>
      </w:r>
      <w:r>
        <w:rPr>
          <w:color w:val="0033CC"/>
          <w:sz w:val="26"/>
          <w:szCs w:val="26"/>
          <w:lang w:val="sv-SE"/>
        </w:rPr>
        <w:t xml:space="preserve"> so với cùng kỳ năm trức. Tổng dư nợ cho vay đạt </w:t>
      </w:r>
      <w:r>
        <w:rPr>
          <w:rFonts w:eastAsia="MS Mincho"/>
          <w:color w:val="0033CC"/>
          <w:spacing w:val="-6"/>
          <w:sz w:val="26"/>
          <w:szCs w:val="26"/>
        </w:rPr>
        <w:t>21.900</w:t>
      </w:r>
      <w:r>
        <w:rPr>
          <w:color w:val="0033CC"/>
          <w:sz w:val="26"/>
          <w:szCs w:val="26"/>
          <w:lang w:val="sv-SE"/>
        </w:rPr>
        <w:t xml:space="preserve"> tỷ đồng, tăng </w:t>
      </w:r>
      <w:r>
        <w:rPr>
          <w:rFonts w:eastAsia="MS Mincho"/>
          <w:color w:val="0033CC"/>
          <w:spacing w:val="-6"/>
          <w:sz w:val="26"/>
          <w:szCs w:val="26"/>
        </w:rPr>
        <w:t>1,19% so với tháng trước và tăng 23,4% so với cùng kỳ năm trước. Nợ xấu 315 tỷ đồng, chiếm 1,44% trên tổng dư nợ cho vay, tăng 0,17 điểm phần trăm so với số đầu năm nhưng giảm 0,07 điểm phần trăm so với cùng kỳ.</w:t>
      </w:r>
    </w:p>
    <w:p w:rsidR="00D139DA" w:rsidRDefault="00682D0C" w:rsidP="00F931B1">
      <w:pPr>
        <w:spacing w:after="120" w:line="252" w:lineRule="auto"/>
        <w:ind w:firstLine="720"/>
        <w:jc w:val="both"/>
        <w:outlineLvl w:val="0"/>
        <w:rPr>
          <w:b/>
          <w:color w:val="0033CC"/>
          <w:sz w:val="26"/>
          <w:szCs w:val="26"/>
          <w:lang w:val="de-DE"/>
        </w:rPr>
      </w:pPr>
      <w:r>
        <w:rPr>
          <w:b/>
          <w:color w:val="0033CC"/>
          <w:sz w:val="26"/>
          <w:szCs w:val="26"/>
          <w:lang w:val="nl-NL"/>
        </w:rPr>
        <w:t xml:space="preserve">2. </w:t>
      </w:r>
      <w:r>
        <w:rPr>
          <w:b/>
          <w:color w:val="0033CC"/>
          <w:sz w:val="26"/>
          <w:szCs w:val="26"/>
          <w:lang w:val="vi-VN"/>
        </w:rPr>
        <w:t xml:space="preserve">Về văn hóa </w:t>
      </w:r>
      <w:r>
        <w:rPr>
          <w:b/>
          <w:color w:val="0033CC"/>
          <w:sz w:val="26"/>
          <w:szCs w:val="26"/>
          <w:lang w:val="de-DE"/>
        </w:rPr>
        <w:t>-</w:t>
      </w:r>
      <w:r>
        <w:rPr>
          <w:b/>
          <w:color w:val="0033CC"/>
          <w:sz w:val="26"/>
          <w:szCs w:val="26"/>
          <w:lang w:val="vi-VN"/>
        </w:rPr>
        <w:t xml:space="preserve"> xã hội</w:t>
      </w:r>
    </w:p>
    <w:p w:rsidR="00D139DA" w:rsidRDefault="00682D0C" w:rsidP="00F931B1">
      <w:pPr>
        <w:spacing w:after="120" w:line="252" w:lineRule="auto"/>
        <w:ind w:firstLine="720"/>
        <w:jc w:val="both"/>
        <w:rPr>
          <w:rFonts w:eastAsia="MS Mincho"/>
          <w:color w:val="0033CC"/>
          <w:spacing w:val="-6"/>
          <w:sz w:val="26"/>
          <w:szCs w:val="26"/>
        </w:rPr>
      </w:pPr>
      <w:r>
        <w:rPr>
          <w:rFonts w:eastAsia="MS Mincho"/>
          <w:color w:val="0033CC"/>
          <w:spacing w:val="-6"/>
          <w:sz w:val="26"/>
          <w:szCs w:val="26"/>
        </w:rPr>
        <w:t>- Các hoạt động văn hóa, nghệ thuật tập trung tuyên truyền, cổ động phục vụ các nhiệm vụ chính trị trọng tâm như: Tiếp tục thực hiện vận động “Học tập và làm theo tư tưởng, đạo đức, phong cách Hồ Chí Minh”; tổ chức các hoạt động chào mừng kỷ niệm 95 năm ngày sinh cố Thủ tướng Chính phủ Võ Văn Kiệt và 77 năm ngày Nam kỳ khởi nghĩa, ngày hội Đại đoàn kết toàn dân tộc, ngày Nhà giáo Việt Nam, ngày Thế giới xóa bỏ bạo lực gia đình; …</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Các chính sách về an sinh xã hội, giảm nghèo, chính sách đối với người có công trên địa bàn tỉnh được quan tâm triển khai kịp thời</w:t>
      </w:r>
      <w:r>
        <w:rPr>
          <w:color w:val="0033CC"/>
          <w:sz w:val="26"/>
          <w:szCs w:val="26"/>
          <w:vertAlign w:val="superscript"/>
          <w:lang w:val="sv-SE"/>
        </w:rPr>
        <w:footnoteReference w:id="5"/>
      </w:r>
      <w:r>
        <w:rPr>
          <w:color w:val="0033CC"/>
          <w:sz w:val="26"/>
          <w:szCs w:val="26"/>
          <w:lang w:val="sv-SE"/>
        </w:rPr>
        <w:t xml:space="preserve">. Trong tháng, </w:t>
      </w:r>
      <w:r>
        <w:rPr>
          <w:color w:val="0033CC"/>
          <w:sz w:val="26"/>
          <w:szCs w:val="26"/>
        </w:rPr>
        <w:t>tuyển sinh đào tạo cho</w:t>
      </w:r>
      <w:r>
        <w:rPr>
          <w:bCs/>
          <w:color w:val="0033CC"/>
          <w:sz w:val="26"/>
          <w:szCs w:val="26"/>
        </w:rPr>
        <w:t xml:space="preserve"> </w:t>
      </w:r>
      <w:r>
        <w:rPr>
          <w:bCs/>
          <w:color w:val="0033CC"/>
          <w:sz w:val="26"/>
          <w:szCs w:val="26"/>
          <w:lang w:eastAsia="ar-SA"/>
        </w:rPr>
        <w:t xml:space="preserve">7.043 </w:t>
      </w:r>
      <w:r>
        <w:rPr>
          <w:color w:val="0033CC"/>
          <w:sz w:val="26"/>
          <w:szCs w:val="26"/>
          <w:lang w:eastAsia="ar-SA"/>
        </w:rPr>
        <w:t>người</w:t>
      </w:r>
      <w:r>
        <w:rPr>
          <w:color w:val="0033CC"/>
          <w:sz w:val="26"/>
          <w:szCs w:val="26"/>
          <w:vertAlign w:val="superscript"/>
          <w:lang w:eastAsia="ar-SA"/>
        </w:rPr>
        <w:footnoteReference w:id="6"/>
      </w:r>
      <w:r>
        <w:rPr>
          <w:color w:val="0033CC"/>
          <w:sz w:val="26"/>
          <w:szCs w:val="26"/>
        </w:rPr>
        <w:t xml:space="preserve">. Lũy kế thực hiện năm 2017, đã tổ chức tuyển sinh học nghề cho </w:t>
      </w:r>
      <w:r>
        <w:rPr>
          <w:color w:val="0033CC"/>
          <w:sz w:val="26"/>
          <w:szCs w:val="26"/>
          <w:lang w:eastAsia="ar-SA"/>
        </w:rPr>
        <w:t>28.217 người</w:t>
      </w:r>
      <w:r>
        <w:rPr>
          <w:color w:val="0033CC"/>
          <w:sz w:val="26"/>
          <w:szCs w:val="26"/>
        </w:rPr>
        <w:t xml:space="preserve">, đạt 104,51% kế hoạch năm; trong đó, tổ chức được </w:t>
      </w:r>
      <w:r>
        <w:rPr>
          <w:bCs/>
          <w:color w:val="0033CC"/>
          <w:sz w:val="26"/>
          <w:szCs w:val="26"/>
        </w:rPr>
        <w:t>307</w:t>
      </w:r>
      <w:r>
        <w:rPr>
          <w:color w:val="0033CC"/>
          <w:sz w:val="26"/>
          <w:szCs w:val="26"/>
        </w:rPr>
        <w:t xml:space="preserve"> lớp đào tạo nghề cho </w:t>
      </w:r>
      <w:r>
        <w:rPr>
          <w:bCs/>
          <w:color w:val="0033CC"/>
          <w:sz w:val="26"/>
          <w:szCs w:val="26"/>
        </w:rPr>
        <w:t>7.249</w:t>
      </w:r>
      <w:r>
        <w:rPr>
          <w:color w:val="0033CC"/>
          <w:sz w:val="26"/>
          <w:szCs w:val="26"/>
        </w:rPr>
        <w:t xml:space="preserve"> lao động nông thôn, đạt </w:t>
      </w:r>
      <w:r>
        <w:rPr>
          <w:bCs/>
          <w:color w:val="0033CC"/>
          <w:sz w:val="26"/>
          <w:szCs w:val="26"/>
        </w:rPr>
        <w:t>1</w:t>
      </w:r>
      <w:r>
        <w:rPr>
          <w:color w:val="0033CC"/>
          <w:sz w:val="26"/>
          <w:szCs w:val="26"/>
        </w:rPr>
        <w:t xml:space="preserve">31,8% kế hoạch năm. </w:t>
      </w:r>
      <w:r w:rsidR="001A012B">
        <w:rPr>
          <w:color w:val="0033CC"/>
          <w:sz w:val="26"/>
          <w:szCs w:val="26"/>
        </w:rPr>
        <w:t>N</w:t>
      </w:r>
      <w:r>
        <w:rPr>
          <w:color w:val="0033CC"/>
          <w:sz w:val="26"/>
          <w:szCs w:val="26"/>
        </w:rPr>
        <w:t xml:space="preserve">âng tỷ lệ lao động có chuyên môn kỹ thuật của tỉnh đạt 63,10%; trong đó, tỷ lệ lao động qua đào tạo đạt 42,12%. Giải quyết việc làm mới cho 4.389 lao động; trong đó, xuất khẩu lao động 44 người. Lũy kế từ đầu năm, giải quyết việc làm 27.955 lao động, đạt 147,13% kế hoạch năm; trong đó, xuất khẩu lao động 988 </w:t>
      </w:r>
      <w:r>
        <w:rPr>
          <w:color w:val="0033CC"/>
          <w:sz w:val="26"/>
          <w:szCs w:val="26"/>
          <w:lang w:eastAsia="ar-SA"/>
        </w:rPr>
        <w:t>người</w:t>
      </w:r>
      <w:r>
        <w:rPr>
          <w:color w:val="0033CC"/>
          <w:sz w:val="26"/>
          <w:szCs w:val="26"/>
          <w:vertAlign w:val="superscript"/>
          <w:lang w:eastAsia="ar-SA"/>
        </w:rPr>
        <w:footnoteReference w:id="7"/>
      </w:r>
      <w:r>
        <w:rPr>
          <w:color w:val="0033CC"/>
          <w:sz w:val="26"/>
          <w:szCs w:val="26"/>
        </w:rPr>
        <w:t>, đạt 141,14% kế hoạch năm.</w:t>
      </w:r>
    </w:p>
    <w:p w:rsidR="00D139DA" w:rsidRDefault="00682D0C" w:rsidP="00F931B1">
      <w:pPr>
        <w:pStyle w:val="NormalWeb"/>
        <w:spacing w:before="0" w:beforeAutospacing="0" w:after="120" w:afterAutospacing="0" w:line="252" w:lineRule="auto"/>
        <w:ind w:firstLine="720"/>
        <w:jc w:val="both"/>
        <w:rPr>
          <w:color w:val="0033CC"/>
          <w:sz w:val="26"/>
          <w:szCs w:val="26"/>
        </w:rPr>
      </w:pPr>
      <w:r>
        <w:rPr>
          <w:color w:val="0033CC"/>
          <w:sz w:val="26"/>
          <w:szCs w:val="26"/>
          <w:lang w:val="sv-SE"/>
        </w:rPr>
        <w:t xml:space="preserve">- Ngành Giáo dục </w:t>
      </w:r>
      <w:r>
        <w:rPr>
          <w:color w:val="0033CC"/>
          <w:sz w:val="26"/>
          <w:szCs w:val="26"/>
          <w:lang w:val="it-IT"/>
        </w:rPr>
        <w:t>tổ chức ngày kỷ niệm 35 năm ngày nhà giáo Việt Nam (20/11/1982-20/11/2017</w:t>
      </w:r>
      <w:r w:rsidR="00E3559A">
        <w:rPr>
          <w:color w:val="0033CC"/>
          <w:sz w:val="26"/>
          <w:szCs w:val="26"/>
          <w:lang w:val="it-IT"/>
        </w:rPr>
        <w:t xml:space="preserve">. </w:t>
      </w:r>
      <w:r>
        <w:rPr>
          <w:rFonts w:eastAsia="MS Mincho"/>
          <w:color w:val="0033CC"/>
          <w:spacing w:val="-6"/>
          <w:sz w:val="26"/>
          <w:szCs w:val="26"/>
        </w:rPr>
        <w:t>Kết quả học sinh trúng tuyển đại học, cao đẳng năm 2017 (tính đến ngày 08/11/2017) có 5.015 học sinh đỗ đại học, cao đẳng (trong đó hệ đại học có 4.640 học sinh, hệ cao đẳng 375 học sinh) so với số học sinh tốt nghiệp đạt tỷ lệ 53,69%.</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lastRenderedPageBreak/>
        <w:t xml:space="preserve">- Ngành Y tế </w:t>
      </w:r>
      <w:r>
        <w:rPr>
          <w:rFonts w:eastAsia="MS Mincho"/>
          <w:color w:val="0033CC"/>
          <w:spacing w:val="-6"/>
          <w:sz w:val="26"/>
          <w:szCs w:val="26"/>
        </w:rPr>
        <w:t>đã chủ động chủ trì và phối hợp với các ngành, các địa phương triển khai thực hiện tốt công tác y tế dự phòng; đẩy mạnh tuyên truyền, giáo dục và tăng cường kiểm tra, giám sát việc thực hiện các biện pháp phòng chống dịch, đảm bảo vệ sinh an toàn thực phẩm; xử lý kịp thời, triệt để khi phát hiện dịch bệnh; tập trung nâng cao chất lượng khám chữa bệnh, tăng cường y đức, đổi mới quản lý, … nhằm thực hiện tốt mục tiêu bảo hiểm y tế toàn dân của Đảng và Nhà nước, chăm sóc tốt sức khỏe cho nhân dân. Tuy nhiên,</w:t>
      </w:r>
      <w:r>
        <w:rPr>
          <w:rFonts w:eastAsia="MS Mincho"/>
          <w:spacing w:val="-6"/>
          <w:sz w:val="28"/>
          <w:szCs w:val="28"/>
        </w:rPr>
        <w:t xml:space="preserve"> </w:t>
      </w:r>
      <w:r>
        <w:rPr>
          <w:rFonts w:eastAsia="MS Mincho"/>
          <w:color w:val="0033CC"/>
          <w:spacing w:val="-6"/>
          <w:sz w:val="26"/>
          <w:szCs w:val="26"/>
        </w:rPr>
        <w:t>do ảnh h</w:t>
      </w:r>
      <w:r>
        <w:rPr>
          <w:rFonts w:eastAsia="MS Mincho" w:hint="eastAsia"/>
          <w:color w:val="0033CC"/>
          <w:spacing w:val="-6"/>
          <w:sz w:val="26"/>
          <w:szCs w:val="26"/>
        </w:rPr>
        <w:t>ư</w:t>
      </w:r>
      <w:r>
        <w:rPr>
          <w:rFonts w:eastAsia="MS Mincho"/>
          <w:color w:val="0033CC"/>
          <w:spacing w:val="-6"/>
          <w:sz w:val="26"/>
          <w:szCs w:val="26"/>
        </w:rPr>
        <w:t>ởng của thời tiết, khí hậu nên trong tháng có một số bệnh tăng hơn so cùng</w:t>
      </w:r>
      <w:r>
        <w:rPr>
          <w:color w:val="0033CC"/>
          <w:sz w:val="26"/>
          <w:szCs w:val="26"/>
          <w:lang w:val="sv-SE"/>
        </w:rPr>
        <w:t xml:space="preserve"> kỳ như: 123 cas viêm gan virus, tăng 123 cas; 44 cas quai bị, tăng 33 cas, tương ứng tỷ lệ tăng 300%; 656 cas tay chân miệng, tăng 210 cas, tương ứng tỷ lệ tăng 47%. </w:t>
      </w:r>
    </w:p>
    <w:p w:rsidR="00D139DA" w:rsidRDefault="00682D0C" w:rsidP="00F931B1">
      <w:pPr>
        <w:spacing w:after="120" w:line="252" w:lineRule="auto"/>
        <w:ind w:firstLine="720"/>
        <w:jc w:val="both"/>
        <w:outlineLvl w:val="0"/>
        <w:rPr>
          <w:rFonts w:eastAsia="Times New Roman,Bold"/>
          <w:b/>
          <w:bCs/>
          <w:color w:val="0033CC"/>
          <w:sz w:val="26"/>
          <w:szCs w:val="26"/>
          <w:lang w:val="it-IT"/>
        </w:rPr>
      </w:pPr>
      <w:r>
        <w:rPr>
          <w:rFonts w:eastAsia="Times New Roman,Bold"/>
          <w:b/>
          <w:bCs/>
          <w:color w:val="0033CC"/>
          <w:sz w:val="26"/>
          <w:szCs w:val="26"/>
          <w:lang w:val="it-IT"/>
        </w:rPr>
        <w:t>3. Công tác quản lý dịch bệnh, thiên tai</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w:t>
      </w:r>
      <w:r>
        <w:rPr>
          <w:rFonts w:eastAsia="MS Mincho"/>
          <w:color w:val="0033CC"/>
          <w:spacing w:val="-6"/>
          <w:sz w:val="26"/>
          <w:szCs w:val="26"/>
        </w:rPr>
        <w:t>Trong tháng không phát hiện bệnh tai xanh trên heo và bệnh cúm gia cầm. Riêng 01 ổ dịch bệnh lở mồm long móng trên heo tại xã Tân Hạnh, huyện Long Hồ trong tháng phát sinh thêm 61 con bệnh, nâng tổng số đến nay lên 79 con bị bệnh, số chết và tiêu hủy là 14 con; ngành chức năng phối hợp chính quyền địa phương thực hiện tốt công tác phòng, chống dịch bệnh theo quy định nên ổ dịch được khống chế tốt, không lây lan diện rộng.</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Thiên tai:</w:t>
      </w:r>
      <w:r>
        <w:rPr>
          <w:bCs/>
          <w:color w:val="0033CC"/>
          <w:sz w:val="26"/>
          <w:szCs w:val="26"/>
        </w:rPr>
        <w:t xml:space="preserve"> </w:t>
      </w:r>
      <w:r>
        <w:rPr>
          <w:rFonts w:eastAsia="MS Mincho"/>
          <w:color w:val="0033CC"/>
          <w:spacing w:val="-6"/>
          <w:sz w:val="26"/>
          <w:szCs w:val="26"/>
        </w:rPr>
        <w:t>Trong tháng, nhiều đợt mưa to kèm theo giông lốc làm sập 06 căn nhà, tốc mái 09 căn nhà (trong đó có 05 phòng học bị sập la phông), làm 09 học sinh bị thương, ước thiệt hại tài sản hơn 209 triệu đồng.</w:t>
      </w:r>
    </w:p>
    <w:p w:rsidR="00D139DA" w:rsidRDefault="00682D0C" w:rsidP="00F931B1">
      <w:pPr>
        <w:spacing w:after="120" w:line="252" w:lineRule="auto"/>
        <w:ind w:firstLine="720"/>
        <w:jc w:val="both"/>
        <w:outlineLvl w:val="0"/>
        <w:rPr>
          <w:rFonts w:eastAsia="Times New Roman,Bold"/>
          <w:b/>
          <w:bCs/>
          <w:color w:val="0033CC"/>
          <w:sz w:val="26"/>
          <w:szCs w:val="26"/>
          <w:lang w:val="it-IT"/>
        </w:rPr>
      </w:pPr>
      <w:r>
        <w:rPr>
          <w:b/>
          <w:bCs/>
          <w:color w:val="0033CC"/>
          <w:sz w:val="26"/>
          <w:szCs w:val="26"/>
          <w:lang w:val="it-IT"/>
        </w:rPr>
        <w:t xml:space="preserve">4. </w:t>
      </w:r>
      <w:r>
        <w:rPr>
          <w:rFonts w:eastAsia="Times New Roman,Bold"/>
          <w:b/>
          <w:bCs/>
          <w:color w:val="0033CC"/>
          <w:sz w:val="26"/>
          <w:szCs w:val="26"/>
          <w:lang w:val="it-IT"/>
        </w:rPr>
        <w:t>Công tác tiếp dân và giải quyết khiếu nại</w:t>
      </w:r>
      <w:r>
        <w:rPr>
          <w:b/>
          <w:bCs/>
          <w:color w:val="0033CC"/>
          <w:sz w:val="26"/>
          <w:szCs w:val="26"/>
          <w:lang w:val="it-IT"/>
        </w:rPr>
        <w:t xml:space="preserve">, </w:t>
      </w:r>
      <w:r>
        <w:rPr>
          <w:rFonts w:eastAsia="Times New Roman,Bold"/>
          <w:b/>
          <w:bCs/>
          <w:color w:val="0033CC"/>
          <w:sz w:val="26"/>
          <w:szCs w:val="26"/>
          <w:lang w:val="it-IT"/>
        </w:rPr>
        <w:t>kiến nghị của doanh nghiệp</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Tổng số đơn tiếp nhận 27 đơn đủ điều kiện xử lý. Nội dung đơn: </w:t>
      </w:r>
      <w:r>
        <w:rPr>
          <w:color w:val="0033CC"/>
          <w:sz w:val="26"/>
          <w:szCs w:val="26"/>
        </w:rPr>
        <w:t>hầu hết nội dung đơn khiếu nại của công dân liên quan đến việc thực hiện chính sách bồi hoàn, hỗ trợ khi thu hồi đất để thực hiện Dự án Công viên Truyền hình Vĩnh Long của Ủy ban nhân dân thành phố Vĩnh Long và một số yêu cầu, phản ánh khác</w:t>
      </w:r>
      <w:r>
        <w:rPr>
          <w:color w:val="0033CC"/>
          <w:sz w:val="26"/>
          <w:szCs w:val="26"/>
          <w:lang w:val="sv-SE"/>
        </w:rPr>
        <w:t xml:space="preserve">. Kết quả xử lý: </w:t>
      </w:r>
      <w:r>
        <w:rPr>
          <w:color w:val="0033CC"/>
          <w:sz w:val="26"/>
          <w:szCs w:val="26"/>
        </w:rPr>
        <w:t>ra văn bản hướng dẫn 08 đơn; chuyển cơ quan có thẩm quyền xem xét, giải quyết 07 đơn; đề xuất Chủ tịch UBND tỉnh chỉ đạo ngành chức năng tham mưu giải quyết khiếu nại 12 đơn.</w:t>
      </w:r>
    </w:p>
    <w:p w:rsidR="00D139DA" w:rsidRPr="0048457B" w:rsidRDefault="00682D0C" w:rsidP="00F931B1">
      <w:pPr>
        <w:autoSpaceDE w:val="0"/>
        <w:autoSpaceDN w:val="0"/>
        <w:adjustRightInd w:val="0"/>
        <w:spacing w:after="120" w:line="252" w:lineRule="auto"/>
        <w:ind w:firstLine="720"/>
        <w:jc w:val="both"/>
        <w:rPr>
          <w:b/>
          <w:color w:val="0033CC"/>
          <w:sz w:val="26"/>
          <w:szCs w:val="26"/>
        </w:rPr>
      </w:pPr>
      <w:r w:rsidRPr="0048457B">
        <w:rPr>
          <w:b/>
          <w:color w:val="0033CC"/>
          <w:sz w:val="26"/>
          <w:szCs w:val="26"/>
          <w:lang w:val="de-DE"/>
        </w:rPr>
        <w:t xml:space="preserve">5. </w:t>
      </w:r>
      <w:r w:rsidRPr="0048457B">
        <w:rPr>
          <w:b/>
          <w:color w:val="0033CC"/>
          <w:sz w:val="26"/>
          <w:szCs w:val="26"/>
          <w:lang w:val="vi-VN"/>
        </w:rPr>
        <w:t xml:space="preserve">Về </w:t>
      </w:r>
      <w:r w:rsidRPr="0048457B">
        <w:rPr>
          <w:b/>
          <w:color w:val="0033CC"/>
          <w:sz w:val="26"/>
          <w:szCs w:val="26"/>
        </w:rPr>
        <w:t>q</w:t>
      </w:r>
      <w:r w:rsidRPr="0048457B">
        <w:rPr>
          <w:b/>
          <w:color w:val="0033CC"/>
          <w:sz w:val="26"/>
          <w:szCs w:val="26"/>
          <w:lang w:val="vi-VN"/>
        </w:rPr>
        <w:t xml:space="preserve">uốc phòng - </w:t>
      </w:r>
      <w:r w:rsidRPr="0048457B">
        <w:rPr>
          <w:b/>
          <w:color w:val="0033CC"/>
          <w:sz w:val="26"/>
          <w:szCs w:val="26"/>
        </w:rPr>
        <w:t>a</w:t>
      </w:r>
      <w:r w:rsidRPr="0048457B">
        <w:rPr>
          <w:b/>
          <w:color w:val="0033CC"/>
          <w:sz w:val="26"/>
          <w:szCs w:val="26"/>
          <w:lang w:val="vi-VN"/>
        </w:rPr>
        <w:t>n ninh, trật tự an toàn xã hội</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Tình hình an ninh chính trị và trật tự an toàn xã hội trên địa bàn được giữ vững ổn định. Duy trì nghiêm các chế độ trực: trực chỉ huy, trực tác chiến, sẵn sàng chiến đấu, hoàn chỉnh kế hoạch tết Quân - Dân năm 2018,...</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Tình hình trật tự xã hội: Xảy ra 154 vụ, làm chết 15 người, bị thương 47 người, thiệt hại tài sản khoảng 740.000.000 đồng. So với tháng trước tăng 30 vụ (154/124), chết giảm 08 người (15/23), bị thương tăng 19 người (47/28), thiệt hại tài sản giảm khoảng 638.000.000; So với cùng kỳ năm 2016 giảm 11 vụ (154/165), chết giảm 09 người (15/24), bị thương giảm 12 người (47/59), thiệt hại tài sản giảm khoảng 1.324.000.000 đồng. </w:t>
      </w:r>
      <w:r w:rsidR="00823B30">
        <w:rPr>
          <w:color w:val="0033CC"/>
          <w:sz w:val="26"/>
          <w:szCs w:val="26"/>
          <w:lang w:val="sv-SE"/>
        </w:rPr>
        <w:t>Trong đó đ</w:t>
      </w:r>
      <w:r>
        <w:rPr>
          <w:color w:val="0033CC"/>
          <w:sz w:val="26"/>
          <w:szCs w:val="26"/>
          <w:lang w:val="sv-SE"/>
        </w:rPr>
        <w:t>áng chú ý:</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w:t>
      </w:r>
      <w:r>
        <w:rPr>
          <w:bCs/>
          <w:color w:val="0033CC"/>
          <w:szCs w:val="28"/>
        </w:rPr>
        <w:t>Vi phạm pháp luật về TTXH</w:t>
      </w:r>
      <w:r>
        <w:rPr>
          <w:color w:val="0033CC"/>
          <w:szCs w:val="28"/>
        </w:rPr>
        <w:t xml:space="preserve">: Xảy ra </w:t>
      </w:r>
      <w:r>
        <w:rPr>
          <w:color w:val="0033CC"/>
        </w:rPr>
        <w:t>53</w:t>
      </w:r>
      <w:r>
        <w:rPr>
          <w:color w:val="0033CC"/>
          <w:szCs w:val="28"/>
        </w:rPr>
        <w:t xml:space="preserve"> vụ </w:t>
      </w:r>
      <w:r>
        <w:rPr>
          <w:color w:val="0033CC"/>
        </w:rPr>
        <w:t>53</w:t>
      </w:r>
      <w:r>
        <w:rPr>
          <w:color w:val="0033CC"/>
          <w:szCs w:val="28"/>
        </w:rPr>
        <w:t xml:space="preserve"> đối tượng, làm chết </w:t>
      </w:r>
      <w:r>
        <w:rPr>
          <w:color w:val="0033CC"/>
        </w:rPr>
        <w:t>01</w:t>
      </w:r>
      <w:r>
        <w:rPr>
          <w:color w:val="0033CC"/>
          <w:szCs w:val="28"/>
        </w:rPr>
        <w:t xml:space="preserve"> người, bị thương </w:t>
      </w:r>
      <w:r>
        <w:rPr>
          <w:color w:val="0033CC"/>
        </w:rPr>
        <w:t>14</w:t>
      </w:r>
      <w:r>
        <w:rPr>
          <w:color w:val="0033CC"/>
          <w:szCs w:val="28"/>
        </w:rPr>
        <w:t xml:space="preserve"> người, thiệt hại tài sản khoảng </w:t>
      </w:r>
      <w:r>
        <w:rPr>
          <w:color w:val="0033CC"/>
        </w:rPr>
        <w:t>540.000.000</w:t>
      </w:r>
      <w:r>
        <w:rPr>
          <w:color w:val="0033CC"/>
          <w:szCs w:val="28"/>
        </w:rPr>
        <w:t xml:space="preserve"> đồng. So với tháng trước </w:t>
      </w:r>
      <w:r>
        <w:rPr>
          <w:color w:val="0033CC"/>
        </w:rPr>
        <w:t>tăng 05 vụ (53/48)</w:t>
      </w:r>
      <w:r>
        <w:rPr>
          <w:color w:val="0033CC"/>
          <w:szCs w:val="28"/>
        </w:rPr>
        <w:t xml:space="preserve">, chết </w:t>
      </w:r>
      <w:r>
        <w:rPr>
          <w:color w:val="0033CC"/>
        </w:rPr>
        <w:t>tăng 01 người (01/0)</w:t>
      </w:r>
      <w:r>
        <w:rPr>
          <w:color w:val="0033CC"/>
          <w:szCs w:val="28"/>
        </w:rPr>
        <w:t xml:space="preserve">, bị thương </w:t>
      </w:r>
      <w:r>
        <w:rPr>
          <w:color w:val="0033CC"/>
        </w:rPr>
        <w:t>tăng 02 người (14/12)</w:t>
      </w:r>
      <w:r>
        <w:rPr>
          <w:color w:val="0033CC"/>
          <w:szCs w:val="28"/>
        </w:rPr>
        <w:t xml:space="preserve">, thiệt hại tài sản </w:t>
      </w:r>
      <w:r>
        <w:rPr>
          <w:color w:val="0033CC"/>
        </w:rPr>
        <w:t>giảm khoảng 783.000.000</w:t>
      </w:r>
      <w:r>
        <w:rPr>
          <w:color w:val="0033CC"/>
          <w:szCs w:val="28"/>
        </w:rPr>
        <w:t xml:space="preserve">; so với cùng kỳ </w:t>
      </w:r>
      <w:r>
        <w:rPr>
          <w:color w:val="0033CC"/>
        </w:rPr>
        <w:t>giảm 11 vụ (53/64)</w:t>
      </w:r>
      <w:r>
        <w:rPr>
          <w:color w:val="0033CC"/>
          <w:szCs w:val="28"/>
        </w:rPr>
        <w:t xml:space="preserve">, chết </w:t>
      </w:r>
      <w:r>
        <w:rPr>
          <w:color w:val="0033CC"/>
        </w:rPr>
        <w:t>giảm 04 người (01/05)</w:t>
      </w:r>
      <w:r>
        <w:rPr>
          <w:color w:val="0033CC"/>
          <w:szCs w:val="28"/>
        </w:rPr>
        <w:t xml:space="preserve">, bị thương </w:t>
      </w:r>
      <w:r>
        <w:rPr>
          <w:color w:val="0033CC"/>
        </w:rPr>
        <w:t>tăng 04 người (14/10)</w:t>
      </w:r>
      <w:r>
        <w:rPr>
          <w:color w:val="0033CC"/>
          <w:szCs w:val="28"/>
        </w:rPr>
        <w:t xml:space="preserve">, thiệt hại tài sản </w:t>
      </w:r>
      <w:r>
        <w:rPr>
          <w:color w:val="0033CC"/>
        </w:rPr>
        <w:t>giảm khoảng 1.474.000.000</w:t>
      </w:r>
      <w:r>
        <w:rPr>
          <w:color w:val="0033CC"/>
          <w:szCs w:val="28"/>
        </w:rPr>
        <w:t xml:space="preserve"> đồng</w:t>
      </w:r>
      <w:r w:rsidR="00B97797">
        <w:rPr>
          <w:color w:val="0033CC"/>
          <w:szCs w:val="28"/>
        </w:rPr>
        <w:t>.</w:t>
      </w:r>
      <w:r w:rsidR="0011330C">
        <w:rPr>
          <w:color w:val="0033CC"/>
          <w:szCs w:val="28"/>
        </w:rPr>
        <w:t xml:space="preserve"> </w:t>
      </w:r>
      <w:r w:rsidR="001E7CD6">
        <w:rPr>
          <w:color w:val="0033CC"/>
          <w:szCs w:val="28"/>
        </w:rPr>
        <w:t xml:space="preserve">Đặc biệt, trong tháng </w:t>
      </w:r>
      <w:r w:rsidR="009D6008">
        <w:rPr>
          <w:color w:val="0033CC"/>
          <w:szCs w:val="28"/>
        </w:rPr>
        <w:t xml:space="preserve">đã </w:t>
      </w:r>
      <w:r w:rsidR="0011330C">
        <w:rPr>
          <w:color w:val="0033CC"/>
          <w:szCs w:val="28"/>
        </w:rPr>
        <w:t xml:space="preserve">xảy ra </w:t>
      </w:r>
      <w:r w:rsidR="00351AE7">
        <w:rPr>
          <w:color w:val="0033CC"/>
          <w:szCs w:val="28"/>
        </w:rPr>
        <w:t xml:space="preserve">01 vụ </w:t>
      </w:r>
      <w:r w:rsidR="0011330C">
        <w:rPr>
          <w:color w:val="0033CC"/>
          <w:szCs w:val="28"/>
        </w:rPr>
        <w:t>tội phạm xâm hại tình dục trẻ em.</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Tai nạn giao thông đường bộ: </w:t>
      </w:r>
      <w:r>
        <w:rPr>
          <w:bCs/>
          <w:color w:val="0033CC"/>
          <w:szCs w:val="28"/>
        </w:rPr>
        <w:t xml:space="preserve">Xảy ra </w:t>
      </w:r>
      <w:r>
        <w:rPr>
          <w:color w:val="0033CC"/>
        </w:rPr>
        <w:t>34</w:t>
      </w:r>
      <w:r>
        <w:rPr>
          <w:bCs/>
          <w:color w:val="0033CC"/>
          <w:szCs w:val="28"/>
        </w:rPr>
        <w:t xml:space="preserve"> vụ, làm chết </w:t>
      </w:r>
      <w:r>
        <w:rPr>
          <w:color w:val="0033CC"/>
        </w:rPr>
        <w:t>11</w:t>
      </w:r>
      <w:r>
        <w:rPr>
          <w:bCs/>
          <w:color w:val="0033CC"/>
          <w:szCs w:val="28"/>
        </w:rPr>
        <w:t xml:space="preserve"> người, bị thương </w:t>
      </w:r>
      <w:r>
        <w:rPr>
          <w:color w:val="0033CC"/>
        </w:rPr>
        <w:t>33</w:t>
      </w:r>
      <w:r>
        <w:rPr>
          <w:bCs/>
          <w:color w:val="0033CC"/>
          <w:szCs w:val="28"/>
        </w:rPr>
        <w:t xml:space="preserve"> người, thiệt hại tài sản khoảng </w:t>
      </w:r>
      <w:r>
        <w:rPr>
          <w:color w:val="0033CC"/>
        </w:rPr>
        <w:t>120.000.000</w:t>
      </w:r>
      <w:r>
        <w:rPr>
          <w:bCs/>
          <w:color w:val="0033CC"/>
          <w:szCs w:val="28"/>
        </w:rPr>
        <w:t xml:space="preserve"> đồng. </w:t>
      </w:r>
      <w:r>
        <w:rPr>
          <w:color w:val="0033CC"/>
          <w:szCs w:val="28"/>
        </w:rPr>
        <w:t xml:space="preserve">So với tháng trước </w:t>
      </w:r>
      <w:r>
        <w:rPr>
          <w:color w:val="0033CC"/>
        </w:rPr>
        <w:t>tăng 13 vụ (34/21)</w:t>
      </w:r>
      <w:r>
        <w:rPr>
          <w:color w:val="0033CC"/>
          <w:szCs w:val="28"/>
        </w:rPr>
        <w:t xml:space="preserve">, chết </w:t>
      </w:r>
      <w:r>
        <w:rPr>
          <w:color w:val="0033CC"/>
        </w:rPr>
        <w:lastRenderedPageBreak/>
        <w:t>không tăng giảm (11/11)</w:t>
      </w:r>
      <w:r>
        <w:rPr>
          <w:color w:val="0033CC"/>
          <w:szCs w:val="28"/>
        </w:rPr>
        <w:t xml:space="preserve">, bị thương </w:t>
      </w:r>
      <w:r>
        <w:rPr>
          <w:color w:val="0033CC"/>
        </w:rPr>
        <w:t>tăng 17 người (33/16)</w:t>
      </w:r>
      <w:r>
        <w:rPr>
          <w:color w:val="0033CC"/>
          <w:szCs w:val="28"/>
        </w:rPr>
        <w:t xml:space="preserve">, thiệt hại tài sản </w:t>
      </w:r>
      <w:r>
        <w:rPr>
          <w:color w:val="0033CC"/>
        </w:rPr>
        <w:t>tăng khoảng 65.000.000</w:t>
      </w:r>
      <w:r>
        <w:rPr>
          <w:color w:val="0033CC"/>
          <w:szCs w:val="28"/>
        </w:rPr>
        <w:t xml:space="preserve"> đồng; so với cùng kỳ </w:t>
      </w:r>
      <w:r>
        <w:rPr>
          <w:color w:val="0033CC"/>
        </w:rPr>
        <w:t>giảm 08 vụ (34/42)</w:t>
      </w:r>
      <w:r>
        <w:rPr>
          <w:color w:val="0033CC"/>
          <w:szCs w:val="28"/>
        </w:rPr>
        <w:t xml:space="preserve">, chết </w:t>
      </w:r>
      <w:r>
        <w:rPr>
          <w:color w:val="0033CC"/>
        </w:rPr>
        <w:t>giảm 03 người (11/14)</w:t>
      </w:r>
      <w:r>
        <w:rPr>
          <w:color w:val="0033CC"/>
          <w:szCs w:val="28"/>
        </w:rPr>
        <w:t xml:space="preserve">, bị thương </w:t>
      </w:r>
      <w:r>
        <w:rPr>
          <w:color w:val="0033CC"/>
        </w:rPr>
        <w:t>giảm 16 người (33/49)</w:t>
      </w:r>
      <w:r>
        <w:rPr>
          <w:color w:val="0033CC"/>
          <w:szCs w:val="28"/>
        </w:rPr>
        <w:t xml:space="preserve">, thiệt hại tài sản </w:t>
      </w:r>
      <w:r>
        <w:rPr>
          <w:color w:val="0033CC"/>
        </w:rPr>
        <w:t>tăng khoảng 15.000.000</w:t>
      </w:r>
      <w:r>
        <w:rPr>
          <w:color w:val="0033CC"/>
          <w:szCs w:val="28"/>
        </w:rPr>
        <w:t xml:space="preserve"> đồng.</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Vụ việc khác: </w:t>
      </w:r>
      <w:r>
        <w:rPr>
          <w:color w:val="0033CC"/>
          <w:szCs w:val="28"/>
        </w:rPr>
        <w:t xml:space="preserve">Xảy ra </w:t>
      </w:r>
      <w:r>
        <w:rPr>
          <w:color w:val="0033CC"/>
        </w:rPr>
        <w:t>03</w:t>
      </w:r>
      <w:r>
        <w:rPr>
          <w:color w:val="0033CC"/>
          <w:szCs w:val="28"/>
        </w:rPr>
        <w:t xml:space="preserve"> vụ, làm chết </w:t>
      </w:r>
      <w:r>
        <w:rPr>
          <w:color w:val="0033CC"/>
        </w:rPr>
        <w:t>03</w:t>
      </w:r>
      <w:r>
        <w:rPr>
          <w:color w:val="0033CC"/>
          <w:szCs w:val="28"/>
        </w:rPr>
        <w:t xml:space="preserve"> người. So với tháng trước số vụ và số người chết </w:t>
      </w:r>
      <w:r>
        <w:rPr>
          <w:color w:val="0033CC"/>
        </w:rPr>
        <w:t>giảm 09 (03/12)</w:t>
      </w:r>
      <w:r>
        <w:rPr>
          <w:color w:val="0033CC"/>
          <w:szCs w:val="28"/>
        </w:rPr>
        <w:t xml:space="preserve">; so với cùng kỳ số vụ và số người chết </w:t>
      </w:r>
      <w:r>
        <w:rPr>
          <w:color w:val="0033CC"/>
        </w:rPr>
        <w:t>giảm 01(03/04)</w:t>
      </w:r>
      <w:r>
        <w:rPr>
          <w:color w:val="0033CC"/>
          <w:szCs w:val="28"/>
        </w:rPr>
        <w:t>.</w:t>
      </w:r>
    </w:p>
    <w:p w:rsidR="00D139DA" w:rsidRDefault="00682D0C" w:rsidP="00F931B1">
      <w:pPr>
        <w:autoSpaceDE w:val="0"/>
        <w:autoSpaceDN w:val="0"/>
        <w:spacing w:after="120" w:line="252" w:lineRule="auto"/>
        <w:ind w:firstLine="720"/>
        <w:jc w:val="both"/>
        <w:outlineLvl w:val="0"/>
        <w:rPr>
          <w:color w:val="0033CC"/>
          <w:sz w:val="26"/>
          <w:szCs w:val="26"/>
          <w:lang w:val="nl-NL"/>
        </w:rPr>
      </w:pPr>
      <w:r>
        <w:rPr>
          <w:b/>
          <w:color w:val="0033CC"/>
          <w:sz w:val="26"/>
          <w:szCs w:val="26"/>
          <w:lang w:val="nl-NL"/>
        </w:rPr>
        <w:t>Đánh giá chung</w:t>
      </w:r>
      <w:r>
        <w:rPr>
          <w:color w:val="0033CC"/>
          <w:sz w:val="26"/>
          <w:szCs w:val="26"/>
          <w:lang w:val="nl-NL"/>
        </w:rPr>
        <w:t>:</w:t>
      </w:r>
    </w:p>
    <w:p w:rsidR="00D139DA" w:rsidRDefault="00682D0C" w:rsidP="00F931B1">
      <w:pPr>
        <w:spacing w:after="120" w:line="252" w:lineRule="auto"/>
        <w:ind w:firstLine="720"/>
        <w:jc w:val="both"/>
        <w:rPr>
          <w:color w:val="0033CC"/>
          <w:sz w:val="26"/>
          <w:szCs w:val="26"/>
          <w:lang w:val="sv-SE"/>
        </w:rPr>
      </w:pPr>
      <w:r>
        <w:rPr>
          <w:color w:val="0033CC"/>
          <w:sz w:val="26"/>
          <w:szCs w:val="26"/>
          <w:lang w:val="it-IT"/>
        </w:rPr>
        <w:t>Trong tháng 11/2017, bên cạnh việc tập trung chuẩn bị các báo cáo, tờ trình dự thảo nghị quyết phục vụ kỳ họp thứ 6, HĐND tỉnh; c</w:t>
      </w:r>
      <w:r>
        <w:rPr>
          <w:color w:val="0033CC"/>
          <w:sz w:val="26"/>
          <w:szCs w:val="26"/>
          <w:lang w:val="de-DE"/>
        </w:rPr>
        <w:t xml:space="preserve">ác ngành, các cấp triển khai </w:t>
      </w:r>
      <w:r>
        <w:rPr>
          <w:color w:val="0033CC"/>
          <w:sz w:val="26"/>
          <w:szCs w:val="26"/>
          <w:lang w:val="it-IT"/>
        </w:rPr>
        <w:t xml:space="preserve">đầy đủ, kịp thời các cơ chế, chính sách hỗ trợ doanh nghiệp phát triển, mở rộng quy mô sản xuất, nâng cao hiệu quả hoạt động,... tình hình kinh tế - xã hội của tỉnh tiếp tục chuyển biến tích cực với chỉ số IIP, tổng mức bán lẻ hàng hóa và dịch vụ tiêu dùng, </w:t>
      </w:r>
      <w:r>
        <w:rPr>
          <w:color w:val="0033CC"/>
          <w:sz w:val="26"/>
          <w:szCs w:val="26"/>
          <w:lang w:val="sv-SE"/>
        </w:rPr>
        <w:t>lượng khách lưu trú, kim ngạch xuất khẩu, thu ngân sách Nhà nước tăng trưởng khá tốt;</w:t>
      </w:r>
      <w:r>
        <w:rPr>
          <w:color w:val="0033CC"/>
          <w:sz w:val="26"/>
          <w:szCs w:val="26"/>
          <w:lang w:val="it-IT"/>
        </w:rPr>
        <w:t xml:space="preserve"> giải quyết việc làm cho người lao động tiếp tục tăng cao so cùng kỳ; giá cả thị trường tương đối ổn định; trong đó, </w:t>
      </w:r>
      <w:r>
        <w:rPr>
          <w:color w:val="0033CC"/>
          <w:sz w:val="26"/>
          <w:szCs w:val="26"/>
          <w:lang w:val="sv-SE"/>
        </w:rPr>
        <w:t>giá cá tra tiếp tục tăng so với tháng trước và tăng cao so cùng kỳ năm trước (tăng 5.500 đồng/kg) đã giúp người nông dân có lãi</w:t>
      </w:r>
      <w:r>
        <w:rPr>
          <w:color w:val="0033CC"/>
          <w:sz w:val="26"/>
          <w:szCs w:val="26"/>
          <w:lang w:val="it-IT"/>
        </w:rPr>
        <w:t xml:space="preserve">; </w:t>
      </w:r>
      <w:r>
        <w:rPr>
          <w:color w:val="0033CC"/>
          <w:sz w:val="26"/>
          <w:szCs w:val="26"/>
          <w:lang w:val="sv-SE"/>
        </w:rPr>
        <w:t>chăm sóc và bảo vệ sức khoẻ nhân dân, các lĩnh vực xã hội khác được quan tâm và đạt nhiều kết quả tích cực; an sinh xã hội tiếp tục được bảo đảm; quốc phòng, an ninh được tăng cường và giữ vững; trật tự, an toàn xã hội tiếp tục được ổn định; tai nạn giao thông giảm trên 3 tiêu chí so với cùng kỳ. Công tác cải cách hành chính tiếp tục được các ngành, các cấp quan tâm thực hiện tốt.</w:t>
      </w:r>
    </w:p>
    <w:p w:rsidR="00D139DA" w:rsidRDefault="00682D0C" w:rsidP="00F931B1">
      <w:pPr>
        <w:spacing w:after="120" w:line="252" w:lineRule="auto"/>
        <w:ind w:firstLine="720"/>
        <w:jc w:val="both"/>
        <w:rPr>
          <w:color w:val="0033CC"/>
          <w:sz w:val="26"/>
          <w:szCs w:val="26"/>
          <w:lang w:val="sv-SE"/>
        </w:rPr>
      </w:pPr>
      <w:r>
        <w:rPr>
          <w:color w:val="0033CC"/>
          <w:sz w:val="26"/>
          <w:szCs w:val="26"/>
          <w:lang w:val="it-IT"/>
        </w:rPr>
        <w:t xml:space="preserve">Tuy nhiên, nền kinh tế vẫn còn có một số khó khăn, hạn chế: Tình hình thiên tai (gió lốc, mưa lớn), dịch bệnh tiếp tục xảy ra, ảnh hưởng đến sản xuất nông nghiệp và sinh hoạt của người dân; chỉ số sản xuất công nghiệp và dịch vụ tuy có tăng nhưng tốc độ tăng thấp hơn so với cùng kỳ; </w:t>
      </w:r>
      <w:r>
        <w:rPr>
          <w:color w:val="0033CC"/>
          <w:sz w:val="26"/>
          <w:szCs w:val="26"/>
          <w:lang w:val="sv-SE"/>
        </w:rPr>
        <w:t xml:space="preserve">khối lượng thực hiện và giải ngân kế hoạch vốn đầu tư xây dựng cơ bản đạt tỷ lệ còn thấp so với kế hoạch 2017; tình hình các loại tội phạm trên địa bàn tiếp tục diễn biến phức tạp, </w:t>
      </w:r>
      <w:r w:rsidR="00B5783B" w:rsidRPr="00290B2E">
        <w:rPr>
          <w:color w:val="FF0000"/>
          <w:sz w:val="26"/>
          <w:szCs w:val="26"/>
          <w:lang w:val="sv-SE"/>
        </w:rPr>
        <w:t>nổi lên</w:t>
      </w:r>
      <w:r w:rsidRPr="00290B2E">
        <w:rPr>
          <w:color w:val="FF0000"/>
          <w:sz w:val="26"/>
          <w:szCs w:val="26"/>
          <w:lang w:val="sv-SE"/>
        </w:rPr>
        <w:t xml:space="preserve"> là tình trạng xâm hại tình dục trẻ em</w:t>
      </w:r>
      <w:r w:rsidR="00B5783B" w:rsidRPr="00290B2E">
        <w:rPr>
          <w:color w:val="FF0000"/>
          <w:sz w:val="26"/>
          <w:szCs w:val="26"/>
          <w:lang w:val="sv-SE"/>
        </w:rPr>
        <w:t xml:space="preserve"> tiếp tục diễn ra</w:t>
      </w:r>
      <w:r w:rsidRPr="00290B2E">
        <w:rPr>
          <w:color w:val="FF0000"/>
          <w:sz w:val="26"/>
          <w:szCs w:val="26"/>
          <w:lang w:val="sv-SE"/>
        </w:rPr>
        <w:t xml:space="preserve">; tai nạn giao thông giảm trên 3 tiêu chí </w:t>
      </w:r>
      <w:r w:rsidR="0072615F" w:rsidRPr="00290B2E">
        <w:rPr>
          <w:color w:val="FF0000"/>
          <w:sz w:val="26"/>
          <w:szCs w:val="26"/>
          <w:lang w:val="sv-SE"/>
        </w:rPr>
        <w:t>so với cùng kỳ</w:t>
      </w:r>
      <w:r w:rsidR="0072615F">
        <w:rPr>
          <w:color w:val="0033CC"/>
          <w:sz w:val="26"/>
          <w:szCs w:val="26"/>
          <w:lang w:val="sv-SE"/>
        </w:rPr>
        <w:t xml:space="preserve"> </w:t>
      </w:r>
      <w:r>
        <w:rPr>
          <w:color w:val="0033CC"/>
          <w:sz w:val="26"/>
          <w:szCs w:val="26"/>
          <w:lang w:val="sv-SE"/>
        </w:rPr>
        <w:t>nhưng số người chết vẫn còn cao; một số dịch bệnh trên người có chiều hướng tăng cao so cùng kỳ.</w:t>
      </w:r>
    </w:p>
    <w:p w:rsidR="00D139DA" w:rsidRDefault="00682D0C" w:rsidP="00F931B1">
      <w:pPr>
        <w:pStyle w:val="NormalWeb"/>
        <w:spacing w:before="0" w:beforeAutospacing="0" w:after="120" w:afterAutospacing="0" w:line="252" w:lineRule="auto"/>
        <w:ind w:firstLine="720"/>
        <w:jc w:val="both"/>
        <w:outlineLvl w:val="0"/>
        <w:rPr>
          <w:b/>
          <w:color w:val="0033CC"/>
          <w:sz w:val="26"/>
          <w:szCs w:val="26"/>
          <w:lang w:val="af-ZA"/>
        </w:rPr>
      </w:pPr>
      <w:r>
        <w:rPr>
          <w:b/>
          <w:bCs/>
          <w:color w:val="0033CC"/>
          <w:sz w:val="26"/>
          <w:szCs w:val="26"/>
          <w:lang w:val="it-IT"/>
        </w:rPr>
        <w:t xml:space="preserve">III. </w:t>
      </w:r>
      <w:r>
        <w:rPr>
          <w:b/>
          <w:color w:val="0033CC"/>
          <w:sz w:val="26"/>
          <w:szCs w:val="26"/>
          <w:lang w:val="vi-VN"/>
        </w:rPr>
        <w:t>MỘT S</w:t>
      </w:r>
      <w:r>
        <w:rPr>
          <w:b/>
          <w:color w:val="0033CC"/>
          <w:sz w:val="26"/>
          <w:szCs w:val="26"/>
          <w:lang w:val="it-IT"/>
        </w:rPr>
        <w:t>Ố</w:t>
      </w:r>
      <w:r>
        <w:rPr>
          <w:b/>
          <w:color w:val="0033CC"/>
          <w:sz w:val="26"/>
          <w:szCs w:val="26"/>
          <w:lang w:val="vi-VN"/>
        </w:rPr>
        <w:t xml:space="preserve"> </w:t>
      </w:r>
      <w:r>
        <w:rPr>
          <w:b/>
          <w:color w:val="0033CC"/>
          <w:sz w:val="26"/>
          <w:szCs w:val="26"/>
          <w:lang w:val="af-ZA"/>
        </w:rPr>
        <w:t xml:space="preserve">NHIỆM VỤ TRỌNG TÂM THÁNG 12 NĂM </w:t>
      </w:r>
      <w:r>
        <w:rPr>
          <w:b/>
          <w:color w:val="0033CC"/>
          <w:sz w:val="26"/>
          <w:szCs w:val="26"/>
          <w:lang w:val="vi-VN"/>
        </w:rPr>
        <w:t>201</w:t>
      </w:r>
      <w:r>
        <w:rPr>
          <w:b/>
          <w:color w:val="0033CC"/>
          <w:sz w:val="26"/>
          <w:szCs w:val="26"/>
          <w:lang w:val="af-ZA"/>
        </w:rPr>
        <w:t>7</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Trong tháng 12/2017, các sở, ban, ngành, UBND các huyện, thị xã, thành phố cần tập trung thực hiện một số nhiệm vụ trọng tâm, cụ thể sau đây:</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1. Các sở, ban, ngành, UBND các huyện, thị xã, thành phố thực hiện:</w:t>
      </w:r>
    </w:p>
    <w:p w:rsidR="00D87D27" w:rsidRPr="00631F30" w:rsidRDefault="00D87D27" w:rsidP="00F931B1">
      <w:pPr>
        <w:autoSpaceDE w:val="0"/>
        <w:autoSpaceDN w:val="0"/>
        <w:adjustRightInd w:val="0"/>
        <w:spacing w:after="120" w:line="252" w:lineRule="auto"/>
        <w:ind w:firstLine="720"/>
        <w:jc w:val="both"/>
        <w:rPr>
          <w:rFonts w:eastAsia="MS Mincho"/>
          <w:bCs/>
          <w:color w:val="0033CC"/>
          <w:spacing w:val="-6"/>
          <w:sz w:val="26"/>
          <w:szCs w:val="26"/>
        </w:rPr>
      </w:pPr>
      <w:r w:rsidRPr="00631F30">
        <w:rPr>
          <w:rFonts w:eastAsia="MS Mincho"/>
          <w:bCs/>
          <w:color w:val="0033CC"/>
          <w:spacing w:val="-6"/>
          <w:sz w:val="26"/>
          <w:szCs w:val="26"/>
        </w:rPr>
        <w:t>- Khẩn trương triển khai các Nghị quyết đã được thông qua tại Kỳ họp thứ</w:t>
      </w:r>
      <w:r>
        <w:rPr>
          <w:rFonts w:eastAsia="MS Mincho"/>
          <w:bCs/>
          <w:color w:val="0033CC"/>
          <w:spacing w:val="-6"/>
          <w:sz w:val="26"/>
          <w:szCs w:val="26"/>
        </w:rPr>
        <w:t xml:space="preserve"> 6</w:t>
      </w:r>
      <w:r w:rsidRPr="00631F30">
        <w:rPr>
          <w:rFonts w:eastAsia="MS Mincho"/>
          <w:bCs/>
          <w:color w:val="0033CC"/>
          <w:spacing w:val="-6"/>
          <w:sz w:val="26"/>
          <w:szCs w:val="26"/>
        </w:rPr>
        <w:t>, HĐND tỉnh Khóa IX. Đặc biệt là Nghị quyết về</w:t>
      </w:r>
      <w:r>
        <w:rPr>
          <w:rFonts w:eastAsia="MS Mincho"/>
          <w:bCs/>
          <w:color w:val="0033CC"/>
          <w:spacing w:val="-6"/>
          <w:sz w:val="26"/>
          <w:szCs w:val="26"/>
        </w:rPr>
        <w:t xml:space="preserve"> </w:t>
      </w:r>
      <w:r w:rsidR="002A4E80">
        <w:rPr>
          <w:rFonts w:eastAsia="MS Mincho"/>
          <w:bCs/>
          <w:color w:val="0033CC"/>
          <w:spacing w:val="-6"/>
          <w:sz w:val="26"/>
          <w:szCs w:val="26"/>
        </w:rPr>
        <w:t xml:space="preserve">Kế hoạch </w:t>
      </w:r>
      <w:r w:rsidR="00892161">
        <w:rPr>
          <w:rFonts w:eastAsia="MS Mincho"/>
          <w:bCs/>
          <w:color w:val="0033CC"/>
          <w:spacing w:val="-6"/>
          <w:sz w:val="26"/>
          <w:szCs w:val="26"/>
        </w:rPr>
        <w:t>phát triển kinh tế - xã hội năm 2018</w:t>
      </w:r>
      <w:r w:rsidRPr="00631F30">
        <w:rPr>
          <w:rFonts w:eastAsia="MS Mincho"/>
          <w:bCs/>
          <w:color w:val="0033CC"/>
          <w:spacing w:val="-6"/>
          <w:sz w:val="26"/>
          <w:szCs w:val="26"/>
        </w:rPr>
        <w:t xml:space="preserve">. </w:t>
      </w:r>
      <w:r w:rsidRPr="00631F30">
        <w:rPr>
          <w:color w:val="0033CC"/>
          <w:sz w:val="26"/>
          <w:szCs w:val="26"/>
        </w:rPr>
        <w:t>Tập trung giải quyết, xử lý các kiến nghị của đại biểu HĐND và các kiến nghị của cử tri.</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 </w:t>
      </w:r>
      <w:r>
        <w:rPr>
          <w:rFonts w:eastAsia="MS Mincho"/>
          <w:color w:val="0033CC"/>
          <w:sz w:val="26"/>
          <w:szCs w:val="26"/>
          <w:lang w:val="it-IT"/>
        </w:rPr>
        <w:t>T</w:t>
      </w:r>
      <w:r>
        <w:rPr>
          <w:color w:val="0033CC"/>
          <w:sz w:val="26"/>
          <w:szCs w:val="26"/>
          <w:lang w:val="sv-SE"/>
        </w:rPr>
        <w:t>riển khai quyết liệt các giải pháp</w:t>
      </w:r>
      <w:r>
        <w:rPr>
          <w:rFonts w:eastAsia="MS Mincho"/>
          <w:color w:val="0033CC"/>
          <w:sz w:val="26"/>
          <w:szCs w:val="26"/>
          <w:lang w:val="vi-VN"/>
        </w:rPr>
        <w:t xml:space="preserve"> thực hiện</w:t>
      </w:r>
      <w:r>
        <w:rPr>
          <w:rFonts w:eastAsia="MS Mincho"/>
          <w:color w:val="0033CC"/>
          <w:sz w:val="26"/>
          <w:szCs w:val="26"/>
          <w:lang w:val="it-IT"/>
        </w:rPr>
        <w:t xml:space="preserve"> các chỉ tiêu nghị quyết đề ra</w:t>
      </w:r>
      <w:r>
        <w:rPr>
          <w:rFonts w:eastAsia="MS Mincho"/>
          <w:color w:val="0033CC"/>
          <w:sz w:val="26"/>
          <w:szCs w:val="26"/>
          <w:lang w:val="vi-VN"/>
        </w:rPr>
        <w:t xml:space="preserve">, </w:t>
      </w:r>
      <w:r>
        <w:rPr>
          <w:rFonts w:eastAsia="MS Mincho"/>
          <w:color w:val="0033CC"/>
          <w:sz w:val="26"/>
          <w:szCs w:val="26"/>
          <w:lang w:val="it-IT"/>
        </w:rPr>
        <w:t>đặc biệt</w:t>
      </w:r>
      <w:r>
        <w:rPr>
          <w:rFonts w:eastAsia="MS Mincho"/>
          <w:color w:val="0033CC"/>
          <w:sz w:val="26"/>
          <w:szCs w:val="26"/>
          <w:lang w:val="vi-VN"/>
        </w:rPr>
        <w:t xml:space="preserve"> là các chỉ tiêu đạt</w:t>
      </w:r>
      <w:r>
        <w:rPr>
          <w:rFonts w:eastAsia="MS Mincho"/>
          <w:color w:val="0033CC"/>
          <w:sz w:val="26"/>
          <w:szCs w:val="26"/>
          <w:lang w:val="it-IT"/>
        </w:rPr>
        <w:t xml:space="preserve"> </w:t>
      </w:r>
      <w:r>
        <w:rPr>
          <w:rFonts w:eastAsia="MS Mincho"/>
          <w:color w:val="0033CC"/>
          <w:sz w:val="26"/>
          <w:szCs w:val="26"/>
          <w:lang w:val="vi-VN"/>
        </w:rPr>
        <w:t>còn thấp</w:t>
      </w:r>
      <w:r>
        <w:rPr>
          <w:color w:val="0033CC"/>
          <w:sz w:val="26"/>
          <w:szCs w:val="26"/>
          <w:lang w:val="it-IT"/>
        </w:rPr>
        <w:t>. Chuẩn bị tổng kết nhiệm vụ năm 2017.</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Tiếp tục đẩy nhanh tiến độ thực hiện các công trình, dự án XDCB năm 2017; trong đó, chú trọng các dự án thuộc xã nông thôn mới.</w:t>
      </w:r>
    </w:p>
    <w:p w:rsidR="00D139DA" w:rsidRDefault="00682D0C" w:rsidP="00F931B1">
      <w:pPr>
        <w:spacing w:after="120" w:line="252" w:lineRule="auto"/>
        <w:ind w:firstLine="720"/>
        <w:jc w:val="both"/>
        <w:rPr>
          <w:color w:val="0033CC"/>
          <w:sz w:val="26"/>
          <w:szCs w:val="26"/>
        </w:rPr>
      </w:pPr>
      <w:r>
        <w:rPr>
          <w:color w:val="0033CC"/>
          <w:sz w:val="26"/>
          <w:szCs w:val="26"/>
          <w:lang w:val="sv-SE"/>
        </w:rPr>
        <w:t xml:space="preserve">2. Giám đốc Sở Nông nghiệp và Phát triển nông thôn theo dõi chặt chẽ diễn biến khí tượng, thủy văn, tình hình thiên tai; thông báo kịp thời cho địa phương và các ngành chức năng; phối hợp với các địa phương, đơn vị có liên quan trong công tác ứng phó và khắc phục hậu quả do thiên tai gây ra. Tập </w:t>
      </w:r>
      <w:r w:rsidR="001A012B">
        <w:rPr>
          <w:color w:val="0033CC"/>
          <w:sz w:val="26"/>
          <w:szCs w:val="26"/>
          <w:lang w:val="sv-SE"/>
        </w:rPr>
        <w:t>trung chỉ đạo chăm sóc lúa, màu</w:t>
      </w:r>
      <w:r>
        <w:rPr>
          <w:color w:val="0033CC"/>
          <w:sz w:val="26"/>
          <w:szCs w:val="26"/>
          <w:lang w:val="sv-SE"/>
        </w:rPr>
        <w:t xml:space="preserve">, xuống giống lúa, màu Đông - Xuân 2017-2018 theo đúng lịch thời vụ. Tăng cường </w:t>
      </w:r>
      <w:r>
        <w:rPr>
          <w:color w:val="0033CC"/>
          <w:sz w:val="26"/>
          <w:szCs w:val="26"/>
          <w:lang w:val="sv-SE"/>
        </w:rPr>
        <w:lastRenderedPageBreak/>
        <w:t>công tác kiểm tra, giám sát chặt chẽ tình hình dịch bệnh trên gia súc, gia cầm, đàn bò của các dự án trên địa bàn tỉnh, phát hiện sớm và xử lý kịp thời không để lây lan ra diện rộng. Đẩy</w:t>
      </w:r>
      <w:r>
        <w:rPr>
          <w:color w:val="0033CC"/>
          <w:sz w:val="26"/>
          <w:szCs w:val="26"/>
          <w:lang w:val="vi-VN"/>
        </w:rPr>
        <w:t xml:space="preserve"> mạnh cơ cấu </w:t>
      </w:r>
      <w:r>
        <w:rPr>
          <w:color w:val="0033CC"/>
          <w:sz w:val="26"/>
          <w:szCs w:val="26"/>
        </w:rPr>
        <w:t xml:space="preserve">lại </w:t>
      </w:r>
      <w:r>
        <w:rPr>
          <w:color w:val="0033CC"/>
          <w:sz w:val="26"/>
          <w:szCs w:val="26"/>
          <w:lang w:val="vi-VN"/>
        </w:rPr>
        <w:t xml:space="preserve">ngành chăn nuôi, phát triển chăn nuôi trang trại, gia trại, nâng cao chất lượng giống gia súc, gia cầm; nhân rộng các mô hình chăn nuôi ứng dụng tiến bộ khoa học kỹ thuật có hiệu quả. </w:t>
      </w:r>
      <w:r>
        <w:rPr>
          <w:color w:val="0033CC"/>
          <w:sz w:val="26"/>
          <w:szCs w:val="26"/>
          <w:lang w:val="sv-SE"/>
        </w:rPr>
        <w:t>Đẩy nhanh tiến độ các chương trình, dự án XDCB do ngành quản lý.</w:t>
      </w:r>
      <w:r>
        <w:rPr>
          <w:color w:val="0033CC"/>
          <w:sz w:val="26"/>
          <w:szCs w:val="26"/>
        </w:rPr>
        <w:t xml:space="preserve"> Chỉ đạo đẩy nhanh tiến độ thực hiện các tiêu chí xây dựng xã nông thôn mới thuộc kế hoạch năm 2017.</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3. Giám đốc Sở Kế hoạch và Đầu tư chủ trì, phối hợp với các đơn vị có liên quan tiếp tục hỗ trợ, giải quyết khó khăn cho doanh nghiệp, cải thiện môi trường kinh doanh, nâng cao năng lực cạnh tranh; tạo điều kiện để doanh nghiệp mở rộng sản xuất kinh doanh. Tăng cường thực hiện các hoạt động xúc tiến đầu tư; tiếp tục chuẩn bị tốt các khâu cho Hội nghị xúc tiến đầu tư tỉnh Vĩnh Long năm 2018</w:t>
      </w:r>
      <w:r>
        <w:rPr>
          <w:bCs/>
          <w:iCs/>
          <w:color w:val="0033CC"/>
          <w:sz w:val="26"/>
          <w:szCs w:val="26"/>
        </w:rPr>
        <w:t>.</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 xml:space="preserve">4. Giám đốc Sở Công Thương tiếp tục thực hiện hiệu quả kế hoạch tái cơ cấu ngành Công Thương; Đề án nâng cao năng lực xuất khẩu của tỉnh Vĩnh Long đến năm 2020; </w:t>
      </w:r>
      <w:r>
        <w:rPr>
          <w:color w:val="0033CC"/>
          <w:sz w:val="26"/>
          <w:szCs w:val="26"/>
          <w:lang w:val="it-IT"/>
        </w:rPr>
        <w:t>chủ trì, phối hợp với các ngành liên quan tăng cường quản lý thị trường, chống hàng gian, hàng giả, hàng kém chất lượng, buôn lậu, đầu cơ tăng giá một số mặt hàng thiết yếu; đặc biệt, vào thời điểm cuối năm sức mua tăng. Theo dõi chặt chẽ giá cả các mặt hàng thiết yếu để có biện pháp giải quyết bình ổn giá kịp thời.</w:t>
      </w:r>
    </w:p>
    <w:p w:rsidR="00D139DA" w:rsidRDefault="00682D0C" w:rsidP="00F931B1">
      <w:pPr>
        <w:spacing w:after="120" w:line="252" w:lineRule="auto"/>
        <w:ind w:firstLine="720"/>
        <w:jc w:val="both"/>
        <w:rPr>
          <w:color w:val="0033CC"/>
          <w:sz w:val="26"/>
          <w:szCs w:val="26"/>
          <w:lang w:val="it-IT"/>
        </w:rPr>
      </w:pPr>
      <w:r>
        <w:rPr>
          <w:color w:val="0033CC"/>
          <w:sz w:val="26"/>
          <w:szCs w:val="26"/>
          <w:lang w:val="it-IT"/>
        </w:rPr>
        <w:t>5. Giám đốc Sở Lao động - Thương binh và Xã hội tiếp tục đẩy mạnh công tác dạy nghề và giải quyết việc làm cho lao động, đặc biệt là lao động nông thôn; phối hợp với UBND các huyện, thị xã, thành phố tập trung xây dựng nhà cho hộ Khmer nghèo; đẩy nhanh tiến độ xây dựng nhà ở hộ nghèo theo Quyết định 33/2015/QĐ-TTg tại các địa phương. Thực hiện tốt các chính sách đối với người có công. Tăng cường công tác quản lý, đảm bảo an ninh trật tự tại Cơ sở Cai nghiện ma túy.</w:t>
      </w:r>
    </w:p>
    <w:p w:rsidR="00D139DA" w:rsidRDefault="00682D0C" w:rsidP="00F931B1">
      <w:pPr>
        <w:pStyle w:val="Standard"/>
        <w:spacing w:after="120" w:line="252" w:lineRule="auto"/>
        <w:ind w:firstLine="720"/>
        <w:jc w:val="both"/>
        <w:rPr>
          <w:rFonts w:ascii="Times New Roman" w:eastAsia="Times New Roman" w:hAnsi="Times New Roman" w:cs="Times New Roman"/>
          <w:color w:val="0033CC"/>
          <w:kern w:val="0"/>
          <w:sz w:val="26"/>
          <w:szCs w:val="26"/>
          <w:lang w:val="it-IT" w:eastAsia="en-US" w:bidi="ar-SA"/>
        </w:rPr>
      </w:pPr>
      <w:r>
        <w:rPr>
          <w:rFonts w:ascii="Times New Roman" w:eastAsia="Times New Roman" w:hAnsi="Times New Roman" w:cs="Times New Roman"/>
          <w:color w:val="0033CC"/>
          <w:kern w:val="0"/>
          <w:sz w:val="26"/>
          <w:szCs w:val="26"/>
          <w:lang w:val="it-IT" w:eastAsia="en-US" w:bidi="ar-SA"/>
        </w:rPr>
        <w:t>6. Giám đốc Sở Văn hóa, Thể thao và Du lịch phối hợp các đơn vị có liên quan chuẩn bị kế hoạch tổ chức các hoạt động Mừng Đảng Mừng Xuân Mậu Tuất năm 2018</w:t>
      </w:r>
      <w:r>
        <w:rPr>
          <w:rFonts w:ascii="Times New Roman" w:hAnsi="Times New Roman" w:cs="Times New Roman"/>
          <w:color w:val="0033CC"/>
          <w:sz w:val="26"/>
          <w:szCs w:val="26"/>
        </w:rPr>
        <w:t xml:space="preserve">; </w:t>
      </w:r>
      <w:r>
        <w:rPr>
          <w:rFonts w:ascii="Times New Roman" w:hAnsi="Times New Roman" w:cs="Times New Roman"/>
          <w:color w:val="0033CC"/>
          <w:sz w:val="26"/>
          <w:szCs w:val="26"/>
          <w:lang w:val="sv-SE"/>
        </w:rPr>
        <w:t xml:space="preserve">hoàn thiện các khâu tổ chức kỷ niệm </w:t>
      </w:r>
      <w:r>
        <w:rPr>
          <w:rFonts w:ascii="Times New Roman" w:hAnsi="Times New Roman" w:cs="Times New Roman"/>
          <w:color w:val="0033CC"/>
          <w:sz w:val="26"/>
          <w:szCs w:val="26"/>
        </w:rPr>
        <w:t xml:space="preserve">50 năm cuộc Tổng tiến công </w:t>
      </w:r>
      <w:r>
        <w:rPr>
          <w:rFonts w:ascii="Times New Roman" w:eastAsia="Times New Roman" w:hAnsi="Times New Roman" w:cs="Times New Roman"/>
          <w:color w:val="0033CC"/>
          <w:kern w:val="0"/>
          <w:sz w:val="26"/>
          <w:szCs w:val="26"/>
          <w:lang w:val="it-IT" w:eastAsia="en-US" w:bidi="ar-SA"/>
        </w:rPr>
        <w:t>và nổi dậy Xuân Mậu Thân năm 1968; tham mưu UBND tỉnh xây dựng chương trình hành động thực hiện Nghị quyết 103/NQ-CP, ngày 06/10/2017 của Chính phủ ban hành chương trình hành động thực hiện Nghị quyết số 08-NQ/TW của Bộ Chính trị khóa XII về phát triển du lịch thành ngành kinh tế mũi nhọn.</w:t>
      </w:r>
    </w:p>
    <w:p w:rsidR="00D139DA" w:rsidRDefault="00682D0C" w:rsidP="00F931B1">
      <w:pPr>
        <w:spacing w:after="120" w:line="252" w:lineRule="auto"/>
        <w:ind w:firstLine="720"/>
        <w:jc w:val="both"/>
        <w:rPr>
          <w:color w:val="0033CC"/>
          <w:lang w:val="sv-SE"/>
        </w:rPr>
      </w:pPr>
      <w:r>
        <w:rPr>
          <w:color w:val="0033CC"/>
          <w:sz w:val="26"/>
          <w:szCs w:val="26"/>
          <w:lang w:val="sv-SE"/>
        </w:rPr>
        <w:t xml:space="preserve">7. Giám đốc Sở Y tế Tăng cường công tác phòng, chống dịch bệnh, phát hiện sớm các bệnh truyền nhiễm gây dịch để xử lý kịp thời. Nâng cao chất lượng khám điều trị, chăm sóc, y đức và tinh thần thái độ phục vụ người bệnh. </w:t>
      </w:r>
      <w:r>
        <w:rPr>
          <w:color w:val="0033CC"/>
          <w:lang w:val="sv-SE"/>
        </w:rPr>
        <w:t>Thực hiện kiểm tra, giám sát việc chấp hành quy định của pháp luật về vệ sinh an toàn thực phẩm; đặc biệt liên quan đến lĩnh vực nước sạch. Tuyên truyền Nghị quyết số 21-NQ/TW của Hội nghị lần thứ sáu, Ban Chấp hành khóa XII về công tác dân số trong tình hình mới. Đẩy nhanh tiến độ thực hiện BVĐK Vĩnh Long và BVĐK Khu vực Hòa Phú.</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8. Giám đốc Sở Giáo dục và Đào tạo tổ chức Sơ kết học kỳ I và xây dựng kế hoạch trọng tâm học kỳ II năm học 2017-2018; hoàn thiện Đề án thực hiện Quyết định số 117/QĐ-TTg về “Tăng cường ứng dụng công nghệ thông tin trong quản lý và hỗ trợ các hoạt động dạy-học, nghiên cứu khoa học góp phần nâng cao chất lượng GDĐT giai đoạn 2016-2020, định hướng đến năm 2025”; kiểm tra công nhận kết quả thực hiện công tác phổ cập giáo dục - xóa mù chữ năm 2017 các huyện, thị xã, thành phố.</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lastRenderedPageBreak/>
        <w:t>9. Giám đốc Sở Tài chính chủ trì phối hợp với các đơn vị có liên quan tiếp tục thực hiện chủ trương thu hồi 50% tạm ứng trong năm 2017 của Chủ tịch UBND tỉnh; thực hiện các kiến nghị của các đoàn thanh tra, kiểm toán; chỉ đạo tốt công tác thu ngân sách nhà nước năm 2017.</w:t>
      </w:r>
    </w:p>
    <w:p w:rsidR="00D139DA" w:rsidRDefault="00682D0C" w:rsidP="00F931B1">
      <w:pPr>
        <w:spacing w:after="120" w:line="252" w:lineRule="auto"/>
        <w:ind w:firstLine="720"/>
        <w:jc w:val="both"/>
        <w:rPr>
          <w:color w:val="0033CC"/>
          <w:sz w:val="26"/>
          <w:szCs w:val="26"/>
          <w:lang w:val="sv-SE"/>
        </w:rPr>
      </w:pPr>
      <w:r>
        <w:rPr>
          <w:color w:val="0033CC"/>
          <w:sz w:val="26"/>
          <w:szCs w:val="26"/>
          <w:lang w:val="sv-SE"/>
        </w:rPr>
        <w:t>10. Giám đốc Công an tỉnh, Chỉ huy trưởng Bộ Chỉ huy quân sự tỉnh tăng cường tuần tra, kiểm soát, giữ vững an ninh chính trị, trật tự an toàn xã hội ở địa phương; đảm bảo chế độ trực chỉ huy, trực chiến đấu; sẵn sàng lực lượng, phương tiện phòng chống thiên tai, sạt lở, lốc xoáy, cháy nổ,... khi có tình huống xảy ra; thực hiện quyết liệt các giải pháp kiềm chế tai nạn giao thông và vi phạm về trật tự xã hội.</w:t>
      </w:r>
    </w:p>
    <w:p w:rsidR="00D139DA" w:rsidRDefault="00682D0C" w:rsidP="0052146F">
      <w:pPr>
        <w:spacing w:after="120"/>
        <w:ind w:firstLine="720"/>
        <w:jc w:val="both"/>
        <w:rPr>
          <w:color w:val="0033CC"/>
          <w:sz w:val="26"/>
          <w:szCs w:val="26"/>
          <w:lang w:val="sv-SE"/>
        </w:rPr>
      </w:pPr>
      <w:r>
        <w:rPr>
          <w:color w:val="0033CC"/>
          <w:sz w:val="26"/>
          <w:szCs w:val="26"/>
          <w:lang w:val="sv-SE"/>
        </w:rPr>
        <w:t>UBND tỉnh yêu cầu thủ trưởng các ngành, các cấp triển khai thực hiện tốt các nhiệm vụ trọng tâm đã đề ra trong tháng 12 năm 2017./.</w:t>
      </w:r>
    </w:p>
    <w:p w:rsidR="00D139DA" w:rsidRDefault="00D139DA">
      <w:pPr>
        <w:rPr>
          <w:color w:val="0033CC"/>
          <w:lang w:val="sv-SE"/>
        </w:rPr>
      </w:pPr>
    </w:p>
    <w:tbl>
      <w:tblPr>
        <w:tblW w:w="9072" w:type="dxa"/>
        <w:tblInd w:w="108" w:type="dxa"/>
        <w:tblLook w:val="01E0"/>
      </w:tblPr>
      <w:tblGrid>
        <w:gridCol w:w="4395"/>
        <w:gridCol w:w="4677"/>
      </w:tblGrid>
      <w:tr w:rsidR="00D139DA">
        <w:trPr>
          <w:trHeight w:val="2627"/>
        </w:trPr>
        <w:tc>
          <w:tcPr>
            <w:tcW w:w="4395" w:type="dxa"/>
          </w:tcPr>
          <w:p w:rsidR="00D139DA" w:rsidRDefault="00682D0C">
            <w:pPr>
              <w:pStyle w:val="BodyTextIndent"/>
              <w:ind w:left="-108" w:firstLine="0"/>
              <w:rPr>
                <w:rFonts w:ascii="Times New Roman" w:hAnsi="Times New Roman"/>
                <w:b/>
                <w:i/>
                <w:color w:val="0033CC"/>
                <w:szCs w:val="28"/>
              </w:rPr>
            </w:pPr>
            <w:r>
              <w:rPr>
                <w:rFonts w:ascii="Times New Roman" w:hAnsi="Times New Roman"/>
                <w:b/>
                <w:i/>
                <w:color w:val="0033CC"/>
                <w:sz w:val="24"/>
                <w:szCs w:val="28"/>
              </w:rPr>
              <w:t>Nơi nhận:</w:t>
            </w:r>
          </w:p>
          <w:p w:rsidR="00D139DA" w:rsidRDefault="00682D0C">
            <w:pPr>
              <w:pStyle w:val="BodyTextIndent"/>
              <w:ind w:left="-108" w:firstLine="0"/>
              <w:rPr>
                <w:rFonts w:ascii="Times New Roman" w:hAnsi="Times New Roman"/>
                <w:b/>
                <w:i/>
                <w:color w:val="0033CC"/>
                <w:sz w:val="22"/>
                <w:szCs w:val="22"/>
              </w:rPr>
            </w:pPr>
            <w:r>
              <w:rPr>
                <w:rFonts w:ascii="Times New Roman" w:hAnsi="Times New Roman"/>
                <w:color w:val="0033CC"/>
                <w:sz w:val="22"/>
                <w:szCs w:val="22"/>
              </w:rPr>
              <w:t>- VP Chính phủ I, II;</w:t>
            </w:r>
          </w:p>
          <w:p w:rsidR="00D139DA" w:rsidRDefault="00682D0C">
            <w:pPr>
              <w:pStyle w:val="BodyTextIndent"/>
              <w:ind w:left="-108" w:firstLine="0"/>
              <w:rPr>
                <w:rFonts w:ascii="Times New Roman" w:hAnsi="Times New Roman"/>
                <w:color w:val="0033CC"/>
                <w:sz w:val="22"/>
                <w:szCs w:val="22"/>
              </w:rPr>
            </w:pPr>
            <w:r>
              <w:rPr>
                <w:rFonts w:ascii="Times New Roman" w:hAnsi="Times New Roman"/>
                <w:color w:val="0033CC"/>
                <w:sz w:val="22"/>
                <w:szCs w:val="22"/>
              </w:rPr>
              <w:t>- BCĐ Tây Nam Bộ;</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TT. TU, TT.HĐND tỉnh;</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CT, các PCT UBND tỉnh;</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Sở, ban, ngành, đoàn thể tỉnh;</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UBND các huyện, thị xã, thành phố;</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Lãnh đạo VP.UBND tỉnh;</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xml:space="preserve">- TT Công báo; TT Tin học; </w:t>
            </w:r>
          </w:p>
          <w:p w:rsidR="00D139DA" w:rsidRDefault="00682D0C">
            <w:pPr>
              <w:pStyle w:val="BodyTextIndent"/>
              <w:ind w:left="-108" w:firstLine="0"/>
              <w:rPr>
                <w:rFonts w:ascii="Times New Roman" w:hAnsi="Times New Roman"/>
                <w:color w:val="0033CC"/>
                <w:sz w:val="22"/>
                <w:szCs w:val="22"/>
                <w:lang w:val="sv-SE"/>
              </w:rPr>
            </w:pPr>
            <w:r>
              <w:rPr>
                <w:rFonts w:ascii="Times New Roman" w:hAnsi="Times New Roman"/>
                <w:color w:val="0033CC"/>
                <w:sz w:val="22"/>
                <w:szCs w:val="22"/>
                <w:lang w:val="sv-SE"/>
              </w:rPr>
              <w:t>- Các phòng Nghiên cứu;</w:t>
            </w:r>
          </w:p>
          <w:p w:rsidR="00D139DA" w:rsidRDefault="00682D0C">
            <w:pPr>
              <w:ind w:left="-108"/>
              <w:rPr>
                <w:color w:val="0033CC"/>
                <w:sz w:val="28"/>
                <w:szCs w:val="28"/>
                <w:lang w:val="sv-SE"/>
              </w:rPr>
            </w:pPr>
            <w:r>
              <w:rPr>
                <w:color w:val="0033CC"/>
                <w:sz w:val="22"/>
                <w:szCs w:val="22"/>
                <w:lang w:val="sv-SE"/>
              </w:rPr>
              <w:t>- Lưu: VT, 1.02.04.</w:t>
            </w:r>
          </w:p>
        </w:tc>
        <w:tc>
          <w:tcPr>
            <w:tcW w:w="4677" w:type="dxa"/>
          </w:tcPr>
          <w:p w:rsidR="00D139DA" w:rsidRDefault="00682D0C">
            <w:pPr>
              <w:jc w:val="center"/>
              <w:rPr>
                <w:b/>
                <w:color w:val="0033CC"/>
                <w:sz w:val="28"/>
                <w:szCs w:val="28"/>
                <w:lang w:val="sv-SE"/>
              </w:rPr>
            </w:pPr>
            <w:r>
              <w:rPr>
                <w:b/>
                <w:color w:val="0033CC"/>
                <w:sz w:val="28"/>
                <w:szCs w:val="28"/>
                <w:lang w:val="sv-SE"/>
              </w:rPr>
              <w:t>TM. ỦY BAN NHÂN DÂN</w:t>
            </w:r>
          </w:p>
          <w:p w:rsidR="00D139DA" w:rsidRDefault="00682D0C">
            <w:pPr>
              <w:jc w:val="center"/>
              <w:rPr>
                <w:b/>
                <w:color w:val="0033CC"/>
                <w:sz w:val="28"/>
                <w:szCs w:val="28"/>
                <w:lang w:val="sv-SE"/>
              </w:rPr>
            </w:pPr>
            <w:r>
              <w:rPr>
                <w:b/>
                <w:color w:val="0033CC"/>
                <w:sz w:val="28"/>
                <w:szCs w:val="28"/>
                <w:lang w:val="sv-SE"/>
              </w:rPr>
              <w:t>KT. CHỦ TỊCH</w:t>
            </w:r>
          </w:p>
          <w:p w:rsidR="00D139DA" w:rsidRDefault="00682D0C">
            <w:pPr>
              <w:jc w:val="center"/>
              <w:rPr>
                <w:b/>
                <w:color w:val="0033CC"/>
                <w:sz w:val="28"/>
                <w:szCs w:val="28"/>
                <w:lang w:val="sv-SE"/>
              </w:rPr>
            </w:pPr>
            <w:r>
              <w:rPr>
                <w:b/>
                <w:color w:val="0033CC"/>
                <w:sz w:val="28"/>
                <w:szCs w:val="28"/>
                <w:lang w:val="sv-SE"/>
              </w:rPr>
              <w:t>PHÓ CHỦ TỊCH</w:t>
            </w:r>
          </w:p>
          <w:p w:rsidR="00D139DA" w:rsidRDefault="00D139DA">
            <w:pPr>
              <w:jc w:val="center"/>
              <w:rPr>
                <w:b/>
                <w:color w:val="0033CC"/>
                <w:sz w:val="28"/>
                <w:szCs w:val="28"/>
                <w:lang w:val="sv-SE"/>
              </w:rPr>
            </w:pPr>
          </w:p>
          <w:p w:rsidR="00D139DA" w:rsidRDefault="00D139DA">
            <w:pPr>
              <w:jc w:val="center"/>
              <w:rPr>
                <w:b/>
                <w:color w:val="0033CC"/>
                <w:sz w:val="28"/>
                <w:szCs w:val="28"/>
                <w:lang w:val="sv-SE"/>
              </w:rPr>
            </w:pPr>
          </w:p>
          <w:p w:rsidR="00D139DA" w:rsidRDefault="00D139DA">
            <w:pPr>
              <w:jc w:val="center"/>
              <w:rPr>
                <w:color w:val="0033CC"/>
                <w:sz w:val="28"/>
                <w:szCs w:val="28"/>
                <w:lang w:val="sv-SE"/>
              </w:rPr>
            </w:pPr>
          </w:p>
          <w:p w:rsidR="00D139DA" w:rsidRDefault="00D139DA">
            <w:pPr>
              <w:jc w:val="center"/>
              <w:rPr>
                <w:b/>
                <w:color w:val="0033CC"/>
                <w:sz w:val="28"/>
                <w:szCs w:val="28"/>
                <w:lang w:val="sv-SE"/>
              </w:rPr>
            </w:pPr>
          </w:p>
          <w:p w:rsidR="00C338EA" w:rsidRDefault="00C338EA">
            <w:pPr>
              <w:jc w:val="center"/>
              <w:rPr>
                <w:b/>
                <w:color w:val="0033CC"/>
                <w:sz w:val="28"/>
                <w:szCs w:val="28"/>
                <w:lang w:val="sv-SE"/>
              </w:rPr>
            </w:pPr>
            <w:r>
              <w:rPr>
                <w:b/>
                <w:color w:val="0033CC"/>
                <w:sz w:val="28"/>
                <w:szCs w:val="28"/>
                <w:lang w:val="sv-SE"/>
              </w:rPr>
              <w:t>Đã ký: Lê Quang Trung</w:t>
            </w:r>
          </w:p>
        </w:tc>
      </w:tr>
    </w:tbl>
    <w:p w:rsidR="00D139DA" w:rsidRDefault="00D139DA">
      <w:pPr>
        <w:rPr>
          <w:lang w:val="sv-SE"/>
        </w:rPr>
      </w:pPr>
    </w:p>
    <w:sectPr w:rsidR="00D139DA" w:rsidSect="00D139DA">
      <w:footerReference w:type="default" r:id="rId7"/>
      <w:pgSz w:w="11907" w:h="16840" w:code="9"/>
      <w:pgMar w:top="851" w:right="1134" w:bottom="851" w:left="1701" w:header="397" w:footer="39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C0" w:rsidRDefault="003F06C0" w:rsidP="00D139DA">
      <w:r>
        <w:separator/>
      </w:r>
    </w:p>
  </w:endnote>
  <w:endnote w:type="continuationSeparator" w:id="1">
    <w:p w:rsidR="003F06C0" w:rsidRDefault="003F06C0" w:rsidP="00D1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panose1 w:val="00000000000000000000"/>
    <w:charset w:val="00"/>
    <w:family w:val="roman"/>
    <w:notTrueType/>
    <w:pitch w:val="default"/>
    <w:sig w:usb0="E0000AFF" w:usb1="500078FF" w:usb2="00000021" w:usb3="00000001" w:csb0="600001BF" w:csb1="DFF70000"/>
  </w:font>
  <w:font w:name="Droid Sans Fallback">
    <w:panose1 w:val="00000000000000000000"/>
    <w:charset w:val="01"/>
    <w:family w:val="auto"/>
    <w:notTrueType/>
    <w:pitch w:val="default"/>
    <w:sig w:usb0="900002BF" w:usb1="2BDFFCFB" w:usb2="00000016" w:usb3="00000001" w:csb0="003E0000" w:csb1="00000001"/>
  </w:font>
  <w:font w:name="FreeSans">
    <w:panose1 w:val="00000000000000000000"/>
    <w:charset w:val="01"/>
    <w:family w:val="auto"/>
    <w:notTrueType/>
    <w:pitch w:val="default"/>
    <w:sig w:usb0="E4078EFF" w:usb1="4200FDFF" w:usb2="000030A0" w:usb3="00000001" w:csb0="600001BF" w:csb1="DFF70000"/>
  </w:font>
  <w:font w:name="VNI-Times">
    <w:charset w:val="00"/>
    <w:family w:val="auto"/>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DA" w:rsidRDefault="00EF1E90">
    <w:pPr>
      <w:pStyle w:val="Footer"/>
      <w:tabs>
        <w:tab w:val="clear" w:pos="4320"/>
        <w:tab w:val="clear" w:pos="8640"/>
      </w:tabs>
      <w:jc w:val="right"/>
      <w:rPr>
        <w:sz w:val="24"/>
        <w:szCs w:val="24"/>
      </w:rPr>
    </w:pPr>
    <w:r>
      <w:rPr>
        <w:rStyle w:val="PageNumber"/>
        <w:sz w:val="24"/>
        <w:szCs w:val="24"/>
      </w:rPr>
      <w:fldChar w:fldCharType="begin"/>
    </w:r>
    <w:r w:rsidR="00682D0C">
      <w:rPr>
        <w:rStyle w:val="PageNumber"/>
        <w:sz w:val="24"/>
        <w:szCs w:val="24"/>
      </w:rPr>
      <w:instrText xml:space="preserve"> PAGE </w:instrText>
    </w:r>
    <w:r>
      <w:rPr>
        <w:rStyle w:val="PageNumber"/>
        <w:sz w:val="24"/>
        <w:szCs w:val="24"/>
      </w:rPr>
      <w:fldChar w:fldCharType="separate"/>
    </w:r>
    <w:r w:rsidR="00DC3B81">
      <w:rPr>
        <w:rStyle w:val="PageNumber"/>
        <w:noProof/>
        <w:sz w:val="24"/>
        <w:szCs w:val="24"/>
      </w:rPr>
      <w:t>2</w:t>
    </w:r>
    <w:r>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C0" w:rsidRDefault="003F06C0">
      <w:r>
        <w:separator/>
      </w:r>
    </w:p>
  </w:footnote>
  <w:footnote w:type="continuationSeparator" w:id="1">
    <w:p w:rsidR="003F06C0" w:rsidRDefault="003F06C0">
      <w:r>
        <w:continuationSeparator/>
      </w:r>
    </w:p>
  </w:footnote>
  <w:footnote w:id="2">
    <w:p w:rsidR="00D139DA" w:rsidRDefault="00682D0C">
      <w:pPr>
        <w:pStyle w:val="FootnoteText"/>
        <w:rPr>
          <w:color w:val="0033CC"/>
        </w:rPr>
      </w:pPr>
      <w:r>
        <w:rPr>
          <w:rStyle w:val="FootnoteReference"/>
          <w:color w:val="0033CC"/>
        </w:rPr>
        <w:footnoteRef/>
      </w:r>
      <w:r>
        <w:rPr>
          <w:color w:val="0033CC"/>
        </w:rPr>
        <w:t xml:space="preserve"> </w:t>
      </w:r>
      <w:r>
        <w:rPr>
          <w:bCs/>
          <w:color w:val="0033CC"/>
          <w:lang w:val="nl-NL"/>
        </w:rPr>
        <w:t>Gồm: 2</w:t>
      </w:r>
      <w:r w:rsidR="00C12988">
        <w:rPr>
          <w:bCs/>
          <w:color w:val="0033CC"/>
          <w:lang w:val="nl-NL"/>
        </w:rPr>
        <w:t>21</w:t>
      </w:r>
      <w:r>
        <w:rPr>
          <w:bCs/>
          <w:color w:val="0033CC"/>
          <w:lang w:val="nl-NL"/>
        </w:rPr>
        <w:t xml:space="preserve"> quyết định, 01 chỉ thị, 04 kế hoạch, 08 thông báo kết luận và </w:t>
      </w:r>
      <w:r w:rsidR="00C12988">
        <w:rPr>
          <w:bCs/>
          <w:color w:val="0033CC"/>
          <w:lang w:val="nl-NL"/>
        </w:rPr>
        <w:t>613</w:t>
      </w:r>
      <w:r>
        <w:rPr>
          <w:bCs/>
          <w:color w:val="0033CC"/>
          <w:lang w:val="nl-NL"/>
        </w:rPr>
        <w:t xml:space="preserve"> văn bản hành chính khác.</w:t>
      </w:r>
    </w:p>
  </w:footnote>
  <w:footnote w:id="3">
    <w:p w:rsidR="00D139DA" w:rsidRDefault="00682D0C">
      <w:pPr>
        <w:pStyle w:val="FootnoteText"/>
        <w:spacing w:after="40"/>
        <w:jc w:val="both"/>
        <w:rPr>
          <w:color w:val="0033CC"/>
        </w:rPr>
      </w:pPr>
      <w:r>
        <w:rPr>
          <w:rFonts w:eastAsia="MS Mincho"/>
          <w:color w:val="0033CC"/>
          <w:spacing w:val="-6"/>
          <w:vertAlign w:val="superscript"/>
        </w:rPr>
        <w:footnoteRef/>
      </w:r>
      <w:r>
        <w:rPr>
          <w:rFonts w:eastAsia="MS Mincho"/>
          <w:color w:val="0033CC"/>
          <w:spacing w:val="-6"/>
        </w:rPr>
        <w:t xml:space="preserve"> Trong đó: ngành khai khoáng tăng 8,3%, đóng góp 0,04 điểm phần trăm vào mức tăng của toàn ngành; công nghiệp chế biến, chế tạo tăng 9,29%, đóng góp 8,75 điểm phần trăm; sản xuất, phân phối điện, khí đốt tăng 5,64%, đóng góp 0,17 điểm phần trăm; cung cấp nước, quản lý và xử lý nước thải, rác thải tăng 8,84%, đóng góp 0,16 điểm phần trăm</w:t>
      </w:r>
      <w:r w:rsidR="004171EE">
        <w:rPr>
          <w:rFonts w:eastAsia="MS Mincho"/>
          <w:color w:val="0033CC"/>
          <w:spacing w:val="-6"/>
        </w:rPr>
        <w:t>.</w:t>
      </w:r>
    </w:p>
  </w:footnote>
  <w:footnote w:id="4">
    <w:p w:rsidR="00D139DA" w:rsidRDefault="00682D0C">
      <w:pPr>
        <w:pStyle w:val="FootnoteText"/>
        <w:jc w:val="both"/>
        <w:rPr>
          <w:color w:val="0033CC"/>
          <w:lang w:val="fr-FR"/>
        </w:rPr>
      </w:pPr>
      <w:r>
        <w:rPr>
          <w:color w:val="0033CC"/>
          <w:vertAlign w:val="superscript"/>
          <w:lang w:val="fr-FR"/>
        </w:rPr>
        <w:footnoteRef/>
      </w:r>
      <w:r>
        <w:rPr>
          <w:color w:val="0033CC"/>
          <w:vertAlign w:val="superscript"/>
          <w:lang w:val="fr-FR"/>
        </w:rPr>
        <w:t xml:space="preserve"> </w:t>
      </w:r>
      <w:r>
        <w:rPr>
          <w:color w:val="0033CC"/>
          <w:lang w:val="fr-FR"/>
        </w:rPr>
        <w:t xml:space="preserve">Trong đó, thu từ hoạt động xuất nhập khẩu đạt 123,22% dự toán năm và tăng 164,11% so với cùng kỳ; thu tiền sử dụng đất đạt 173,82% dự toán năm và tăng 15,05%; thu thuế thu nhập cá nhân đạt 96,36% dự toán năm và tăng 24,05%; thu thuế công thương nghiệp ngoài quốc doanh đạt 70,38% dự toán năm và tăng 13,7%, … </w:t>
      </w:r>
    </w:p>
  </w:footnote>
  <w:footnote w:id="5">
    <w:p w:rsidR="00D139DA" w:rsidRDefault="00682D0C">
      <w:pPr>
        <w:pStyle w:val="NormalWeb"/>
        <w:shd w:val="clear" w:color="auto" w:fill="FFFFFF"/>
        <w:spacing w:before="0" w:beforeAutospacing="0" w:after="0" w:afterAutospacing="0"/>
        <w:jc w:val="both"/>
        <w:rPr>
          <w:color w:val="0033CC"/>
          <w:sz w:val="20"/>
          <w:szCs w:val="20"/>
          <w:lang w:val="fr-FR"/>
        </w:rPr>
      </w:pPr>
      <w:r>
        <w:rPr>
          <w:color w:val="0033CC"/>
          <w:vertAlign w:val="superscript"/>
          <w:lang w:val="fr-FR"/>
        </w:rPr>
        <w:footnoteRef/>
      </w:r>
      <w:r>
        <w:rPr>
          <w:color w:val="0033CC"/>
          <w:sz w:val="20"/>
          <w:szCs w:val="20"/>
          <w:vertAlign w:val="superscript"/>
          <w:lang w:val="fr-FR"/>
        </w:rPr>
        <w:t xml:space="preserve"> </w:t>
      </w:r>
      <w:r>
        <w:rPr>
          <w:color w:val="0033CC"/>
          <w:sz w:val="20"/>
          <w:szCs w:val="20"/>
          <w:lang w:val="fr-FR"/>
        </w:rPr>
        <w:t>Xây dựng 17 căn nhà tình nghĩa, sửa chữa 15 căn nhà cho gia đình chính sách với kinh phí hơn 999 triệu đồng; Vận động Quỹ Đền ơn đáp nghĩa 1,02 tỷ đồng; hoàn thành 718 căn thuộc kế hoạch 768 căn hỗ trợ xây dựng nhà ở cho hộ nghèo dân tộc Khmer năm 2017; thăm và tặng quà với tổng trị giá các phần quà gần 50 triệu đồng; cứu tế đột xuất 04 trường hợp với tổng số tiền là 5,2 triệu đồng; vận động quỹ bảo trợ trẻ em được 969 triệu đồng,…</w:t>
      </w:r>
    </w:p>
  </w:footnote>
  <w:footnote w:id="6">
    <w:p w:rsidR="00D139DA" w:rsidRDefault="00682D0C">
      <w:pPr>
        <w:pStyle w:val="FootnoteText"/>
        <w:jc w:val="both"/>
        <w:rPr>
          <w:color w:val="0033CC"/>
        </w:rPr>
      </w:pPr>
      <w:r>
        <w:rPr>
          <w:rStyle w:val="FootnoteReference"/>
          <w:color w:val="0033CC"/>
        </w:rPr>
        <w:footnoteRef/>
      </w:r>
      <w:r>
        <w:rPr>
          <w:color w:val="0033CC"/>
        </w:rPr>
        <w:t xml:space="preserve"> Trong đó: cao đẳng: 220 người; trung cấp: 167 người, sơ cấp: 1.251 người, đào tạo dưới 3 tháng và đào tạo thường xuyên: 5.405 người.</w:t>
      </w:r>
    </w:p>
  </w:footnote>
  <w:footnote w:id="7">
    <w:p w:rsidR="00D139DA" w:rsidRDefault="00682D0C">
      <w:pPr>
        <w:jc w:val="both"/>
        <w:rPr>
          <w:color w:val="0033CC"/>
          <w:sz w:val="20"/>
          <w:szCs w:val="20"/>
        </w:rPr>
      </w:pPr>
      <w:r>
        <w:rPr>
          <w:rStyle w:val="FootnoteReference"/>
          <w:color w:val="0033CC"/>
          <w:sz w:val="20"/>
          <w:szCs w:val="20"/>
        </w:rPr>
        <w:footnoteRef/>
      </w:r>
      <w:r>
        <w:rPr>
          <w:color w:val="0033CC"/>
          <w:sz w:val="20"/>
          <w:szCs w:val="20"/>
        </w:rPr>
        <w:t xml:space="preserve"> Trong đó: TTDVVL Vĩnh Long: 302 lao động, TT DN&amp;GTVL thuộc Liên đoàn lao động: 77 lao động, Lao động tự đi tại các huyện: 609 lao động.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removePersonalInformation/>
  <w:hideSpellingErrors/>
  <w:hideGrammaticalError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139DA"/>
    <w:rsid w:val="00002501"/>
    <w:rsid w:val="00052CD2"/>
    <w:rsid w:val="00096275"/>
    <w:rsid w:val="000B2B3B"/>
    <w:rsid w:val="000C12E6"/>
    <w:rsid w:val="0011330C"/>
    <w:rsid w:val="00150933"/>
    <w:rsid w:val="00162AC3"/>
    <w:rsid w:val="001A012B"/>
    <w:rsid w:val="001E7CD6"/>
    <w:rsid w:val="0023710E"/>
    <w:rsid w:val="00290B2E"/>
    <w:rsid w:val="002A4E80"/>
    <w:rsid w:val="002C336E"/>
    <w:rsid w:val="00311E16"/>
    <w:rsid w:val="00314BDD"/>
    <w:rsid w:val="003464E2"/>
    <w:rsid w:val="00351AE7"/>
    <w:rsid w:val="00360CCA"/>
    <w:rsid w:val="003D2C15"/>
    <w:rsid w:val="003D6256"/>
    <w:rsid w:val="003F06C0"/>
    <w:rsid w:val="004171EE"/>
    <w:rsid w:val="00465ED7"/>
    <w:rsid w:val="0048457B"/>
    <w:rsid w:val="004E5360"/>
    <w:rsid w:val="0050013E"/>
    <w:rsid w:val="0052146F"/>
    <w:rsid w:val="00567658"/>
    <w:rsid w:val="00655A14"/>
    <w:rsid w:val="006713EA"/>
    <w:rsid w:val="00682D0C"/>
    <w:rsid w:val="00686914"/>
    <w:rsid w:val="006E55BC"/>
    <w:rsid w:val="006F458D"/>
    <w:rsid w:val="0072615F"/>
    <w:rsid w:val="00757E48"/>
    <w:rsid w:val="007B79A3"/>
    <w:rsid w:val="00823B30"/>
    <w:rsid w:val="00892161"/>
    <w:rsid w:val="00943111"/>
    <w:rsid w:val="00967D60"/>
    <w:rsid w:val="00992D1C"/>
    <w:rsid w:val="009B64A2"/>
    <w:rsid w:val="009C1427"/>
    <w:rsid w:val="009C3B10"/>
    <w:rsid w:val="009D6008"/>
    <w:rsid w:val="00A45F68"/>
    <w:rsid w:val="00A5412C"/>
    <w:rsid w:val="00A92DC1"/>
    <w:rsid w:val="00AF56CC"/>
    <w:rsid w:val="00B5783B"/>
    <w:rsid w:val="00B97797"/>
    <w:rsid w:val="00C12988"/>
    <w:rsid w:val="00C338EA"/>
    <w:rsid w:val="00C34CC1"/>
    <w:rsid w:val="00D139DA"/>
    <w:rsid w:val="00D87D27"/>
    <w:rsid w:val="00DA00ED"/>
    <w:rsid w:val="00DA39CF"/>
    <w:rsid w:val="00DC3B81"/>
    <w:rsid w:val="00DF0430"/>
    <w:rsid w:val="00E3559A"/>
    <w:rsid w:val="00E6272E"/>
    <w:rsid w:val="00E73736"/>
    <w:rsid w:val="00E94773"/>
    <w:rsid w:val="00ED675C"/>
    <w:rsid w:val="00EE3940"/>
    <w:rsid w:val="00EF1E90"/>
    <w:rsid w:val="00F931B1"/>
    <w:rsid w:val="00FC6E0B"/>
    <w:rsid w:val="00FE5E60"/>
    <w:rsid w:val="00FF6407"/>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39D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BodyTextIndent">
    <w:name w:val="Body Text Indent"/>
    <w:aliases w:val=" Char,Body Text Indent Char Char Char Char,Body Text Indent Char Char Char,Body Text Indent Char Char Char Char Char Char Char,Body Text Indent Char Char,Body Text Indent Char Char Char Char Char Char Char Char Char,Char Char Char1"/>
    <w:basedOn w:val="Normal"/>
    <w:rsid w:val="00D139DA"/>
    <w:pPr>
      <w:ind w:firstLine="720"/>
      <w:jc w:val="both"/>
    </w:pPr>
    <w:rPr>
      <w:rFonts w:ascii="VNI-Times" w:hAnsi="VNI-Times"/>
      <w:sz w:val="28"/>
    </w:rPr>
  </w:style>
  <w:style w:type="paragraph" w:styleId="Footer">
    <w:name w:val="footer"/>
    <w:basedOn w:val="Normal"/>
    <w:rsid w:val="00D139DA"/>
    <w:pPr>
      <w:tabs>
        <w:tab w:val="center" w:pos="4320"/>
        <w:tab w:val="right" w:pos="8640"/>
      </w:tabs>
    </w:pPr>
    <w:rPr>
      <w:sz w:val="28"/>
      <w:szCs w:val="28"/>
    </w:rPr>
  </w:style>
  <w:style w:type="character" w:styleId="PageNumber">
    <w:name w:val="page number"/>
    <w:basedOn w:val="DefaultParagraphFont"/>
    <w:rsid w:val="00D139DA"/>
  </w:style>
  <w:style w:type="paragraph" w:styleId="BodyTextIndent3">
    <w:name w:val="Body Text Indent 3"/>
    <w:basedOn w:val="Normal"/>
    <w:rsid w:val="00D139DA"/>
    <w:pPr>
      <w:ind w:firstLine="851"/>
      <w:jc w:val="both"/>
    </w:pPr>
    <w:rPr>
      <w:rFonts w:ascii="VNI-Times" w:hAnsi="VNI-Times"/>
      <w:color w:val="FF0000"/>
      <w:sz w:val="28"/>
      <w:szCs w:val="20"/>
    </w:rPr>
  </w:style>
  <w:style w:type="paragraph" w:styleId="BodyTextIndent2">
    <w:name w:val="Body Text Indent 2"/>
    <w:aliases w:val=" Char1 Char Char,Body Text Indent 21 Char, Char1 Char Char Char, Char1 Char, Char1"/>
    <w:basedOn w:val="Normal"/>
    <w:rsid w:val="00D139DA"/>
    <w:pPr>
      <w:ind w:firstLine="851"/>
      <w:jc w:val="both"/>
    </w:pPr>
    <w:rPr>
      <w:rFonts w:ascii="VNI-Times" w:hAnsi="VNI-Times"/>
      <w:noProof/>
      <w:sz w:val="28"/>
      <w:szCs w:val="20"/>
    </w:rPr>
  </w:style>
  <w:style w:type="paragraph" w:styleId="NormalWeb">
    <w:name w:val="Normal (Web)"/>
    <w:basedOn w:val="Normal"/>
    <w:rsid w:val="00D139DA"/>
    <w:pPr>
      <w:spacing w:before="100" w:beforeAutospacing="1" w:after="100" w:afterAutospacing="1"/>
    </w:p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rsid w:val="00D139DA"/>
    <w:rPr>
      <w:sz w:val="20"/>
      <w:szCs w:val="20"/>
    </w:rPr>
  </w:style>
  <w:style w:type="character" w:styleId="FootnoteReference">
    <w:name w:val="footnote reference"/>
    <w:aliases w:val="Footnote,Footnote text,ftref,BearingPoint,16 Point,Superscript 6 Point,fr,Footnote Text1,f,(NECG) Footnote Reference, BVI fnr,footnote ref,Footnote Text Char Char Char Char Char Char Ch Char Char Char Char Char Char C,BVI fnr,Ref,10 p"/>
    <w:rsid w:val="00D139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XCfcSdqtzM0Zz/3Zf+PHHVTCOo0=</DigestValue>
    </Reference>
  </SignedInfo>
  <SignatureValue>S2DYE3Y9T0pXmWvD2H5STuKK3R/uHkI47JxmunVvk+GgzH12hIhyvnAiakMjQc/oBEHpQE8puGnL6FSMN26yCDnIj9/SKOjhZdO1Y+f0KfzeX+Rvae0uiXP/LF4tNT76zFI9Tpxlf3IX0hRLrnxorcNXiT79p6AfdFwF9k+Hh3ahVRO2CzNccDkkjzUHenHCgPvPv7IswC7CEq7eocjqAfiBV8eFi+Vvhy0BAy7hYu0ybAh00HYKmw8FiDD7UiKV19xEatIEkghlpDQj8Fl83jxrFvgLawA6SHsR1Aok7tOe1YobMb+awo/LibQzSvRvsuT5Jnra0fslFEaWIpY2Qg==</SignatureValue>
  <KeyInfo>
    <KeyName>CN=Ủy ban Nhân dân tỉnh Vĩnh Long, L=Vĩnh Long, O=Ủy ban Nhân dân tỉnh Vĩnh Long, C=VN</KeyName>
    <KeyValue>
      <RSAKeyValue>
        <Modulus>z0nad//SAfIsEzgrsi4Etvord7EXwkqb2oN4Ruipb+KYjUHkHIG0fhqHBBkCaKU2Wm0PR8IS4K6Ot5bfQ1RVzasucxFqlawZahVW/6ACTQf7/auheTcVurFFzKfFKmMdURZe8YJsoHsdnS71cwlwF4+6eSBypAuvhmWvm1DbWol9iMyeDAgUXk4PZL5iepg0SlPeD4bdLzvXo/rfijqsCoyQp75J4LtG9GxIFcD6tDPaRMvsIIfMPEooNtFhp0fmzAZWv16b+wGrndzZzxfkgd1BpC2uzGzeIi8c4Hea/1lKTHjLfJAB9gzE1oF9a2XckPNmDXzdp5sQMPrem0KpLQ==</Modulus>
        <Exponent>AQAB</Exponent>
      </RSAKeyValue>
    </KeyValue>
    <X509Data>
      <X509Certificate>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UFAAOCAQEAcq9cXWH+z69OG6PfCi5jw6w7wTxg2WpFSWTta2leL97JghrXDMhW2a4FYZUezTvZ7qQB3Xxx5qxwjHOw9V5wiB7f/bRzGUzC9bVACitub/JzaiV56D65BgftR+tNdp69Tum9YTU/t/3mmsAmsiqtlRNpsEhOQ3Qk6OrrrwiIehGWp9v67VN46ibl7n3HIyAh0+qsgUIi8GSylve3dwXIvLyQWW5568rjw49mgHSdIHKY07Ku3Duu/V37fkkLrCY/nOgiDhyNLbyTrSlcuTWCz+j3r+16Oa7lHS8ivPfUdnbdb/98gtmb86LjrLJ0X/QztZw90NfNjLVx4AQEnVnj7g==</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jsO/Bac1nzSKkmvg2iAeSzp8cA0=</DigestValue>
      </Reference>
      <Reference URI="/word/fontTable.xml?ContentType=application/vnd.openxmlformats-officedocument.wordprocessingml.fontTable+xml">
        <DigestMethod Algorithm="http://www.w3.org/2000/09/xmldsig#sha1"/>
        <DigestValue>4/VjsdYLMGDxxzZY9tsOyq9kCkI=</DigestValue>
      </Reference>
      <Reference URI="/word/settings.xml?ContentType=application/vnd.openxmlformats-officedocument.wordprocessingml.settings+xml">
        <DigestMethod Algorithm="http://www.w3.org/2000/09/xmldsig#sha1"/>
        <DigestValue>HxrTOifl//vqjkYrLR9q3zUzcBE=</DigestValue>
      </Reference>
      <Reference URI="/word/footer1.xml?ContentType=application/vnd.openxmlformats-officedocument.wordprocessingml.footer+xml">
        <DigestMethod Algorithm="http://www.w3.org/2000/09/xmldsig#sha1"/>
        <DigestValue>gBk/EUOEmxDy/JtxydoE1KhnXHw=</DigestValue>
      </Reference>
      <Reference URI="/word/styles.xml?ContentType=application/vnd.openxmlformats-officedocument.wordprocessingml.styles+xml">
        <DigestMethod Algorithm="http://www.w3.org/2000/09/xmldsig#sha1"/>
        <DigestValue>MVFlGGw42MYzS9WET6oWjqPhkAA=</DigestValue>
      </Reference>
      <Reference URI="/customXml/item1.xml?ContentType=application/xml">
        <DigestMethod Algorithm="http://www.w3.org/2000/09/xmldsig#sha1"/>
        <DigestValue>d9GCrpWU97s32TyzwC1DYkGvy9Q=</DigestValue>
      </Reference>
      <Reference URI="/customXml/itemProps1.xml?ContentType=application/vnd.openxmlformats-officedocument.customXmlProperties+xml">
        <DigestMethod Algorithm="http://www.w3.org/2000/09/xmldsig#sha1"/>
        <DigestValue>b+oe+LN/gRJFLuaM1sNfg/3talM=</DigestValue>
      </Reference>
      <Reference URI="/word/endnotes.xml?ContentType=application/vnd.openxmlformats-officedocument.wordprocessingml.endnotes+xml">
        <DigestMethod Algorithm="http://www.w3.org/2000/09/xmldsig#sha1"/>
        <DigestValue>rWlGyygOMlw+K3yi8bv3FU7tKwg=</DigestValue>
      </Reference>
      <Reference URI="/word/footnotes.xml?ContentType=application/vnd.openxmlformats-officedocument.wordprocessingml.footnotes+xml">
        <DigestMethod Algorithm="http://www.w3.org/2000/09/xmldsig#sha1"/>
        <DigestValue>hjPyWGc2IKoJ587S970uDcIwFG8=</DigestValue>
      </Reference>
      <Reference URI="/word/webSettings.xml?ContentType=application/vnd.openxmlformats-officedocument.wordprocessingml.webSettings+xml">
        <DigestMethod Algorithm="http://www.w3.org/2000/09/xmldsig#sha1"/>
        <DigestValue>lsJpQUi3QcTiTVvBBf6+hbXAN/o=</DigestValue>
      </Reference>
      <Reference URI="/word/theme/theme1.xml?ContentType=application/vnd.openxmlformats-officedocument.theme+xml">
        <DigestMethod Algorithm="http://www.w3.org/2000/09/xmldsig#sha1"/>
        <DigestValue>4LggOk9bQNbmyiZg/wGDrUnW42A=</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5"/>
            <opc:RelationshipReference SourceId="rId4"/>
            <opc:RelationshipReference SourceId="rId9"/>
          </Transform>
          <Transform Algorithm="http://www.w3.org/TR/2001/REC-xml-c14n-20010315"/>
        </Transforms>
        <DigestMethod Algorithm="http://www.w3.org/2000/09/xmldsig#sha1"/>
        <DigestValue>ygoMi0h2Y0pV3iqZMp4g+TKkFPM=</DigestValue>
      </Reference>
      <Reference URI="/customXml/_rels/item1.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IUpafhmuzUK+ogt/TpNuSucdEFA=</DigestValue>
      </Reference>
    </Manifest>
    <SignatureProperties>
      <SignatureProperty Id="idSignatureTime" Target="#SignatureIdValue">
        <SignatureTime xmlns="http://schemas.openxmlformats.org/package/2006/digital-signature">
          <Format>YYYY-MM-DDThh:mm:ss.sTZD</Format>
          <Value>2017-12-11T08:37:56.1+07:00</Value>
        </SignatureTime>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361BB-74A5-4B8F-AA7D-7ABE99EC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ỦY BAN NHÂN DÂN</vt:lpstr>
    </vt:vector>
  </TitlesOfParts>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
  <cp:lastModifiedBy/>
  <cp:revision>1</cp:revision>
  <cp:lastPrinted>2017-08-31T01:20:00Z</cp:lastPrinted>
  <dcterms:created xsi:type="dcterms:W3CDTF">2017-12-13T02:29:00Z</dcterms:created>
  <dcterms:modified xsi:type="dcterms:W3CDTF">2017-12-13T02:29:00Z</dcterms:modified>
</cp:coreProperties>
</file>